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70D5F156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9F7805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45065B">
        <w:rPr>
          <w:bCs/>
          <w:noProof w:val="0"/>
          <w:sz w:val="24"/>
          <w:szCs w:val="24"/>
        </w:rPr>
        <w:t>0</w:t>
      </w:r>
      <w:r w:rsidR="00750E61">
        <w:rPr>
          <w:bCs/>
          <w:noProof w:val="0"/>
          <w:sz w:val="24"/>
          <w:szCs w:val="24"/>
        </w:rPr>
        <w:t>10438</w:t>
      </w:r>
    </w:p>
    <w:p w14:paraId="3723E1D3" w14:textId="3B08F868" w:rsidR="005432D9" w:rsidRPr="00465587" w:rsidRDefault="009F7805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 w:rsidR="0070741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BC6E74" w:rsidRPr="00BC6E74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9F7805">
        <w:rPr>
          <w:rFonts w:eastAsia="SimSun"/>
          <w:bCs/>
          <w:sz w:val="24"/>
          <w:szCs w:val="24"/>
          <w:vertAlign w:val="superscript"/>
          <w:lang w:eastAsia="zh-CN"/>
        </w:rPr>
        <w:t>nd</w:t>
      </w:r>
      <w:r w:rsidR="00BC6E74">
        <w:rPr>
          <w:rFonts w:eastAsia="SimSun"/>
          <w:bCs/>
          <w:sz w:val="24"/>
          <w:szCs w:val="24"/>
          <w:lang w:eastAsia="zh-CN"/>
        </w:rPr>
        <w:t xml:space="preserve"> of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63B08C55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19">
        <w:rPr>
          <w:rFonts w:cs="Arial"/>
          <w:b/>
          <w:bCs/>
          <w:sz w:val="24"/>
          <w:lang w:eastAsia="ja-JP"/>
        </w:rPr>
        <w:t>7.</w:t>
      </w:r>
      <w:r w:rsidR="00750E61">
        <w:rPr>
          <w:rFonts w:cs="Arial"/>
          <w:b/>
          <w:bCs/>
          <w:sz w:val="24"/>
          <w:lang w:eastAsia="ja-JP"/>
        </w:rPr>
        <w:t>4</w:t>
      </w:r>
      <w:r w:rsidR="00D65F19">
        <w:rPr>
          <w:rFonts w:cs="Arial"/>
          <w:b/>
          <w:bCs/>
          <w:sz w:val="24"/>
          <w:lang w:eastAsia="ja-JP"/>
        </w:rPr>
        <w:t>.2</w:t>
      </w:r>
    </w:p>
    <w:p w14:paraId="73188B46" w14:textId="6998B9EA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CD0A4F">
        <w:rPr>
          <w:rFonts w:ascii="Arial" w:hAnsi="Arial" w:cs="Arial"/>
          <w:b/>
          <w:bCs/>
          <w:sz w:val="24"/>
        </w:rPr>
        <w:t>, Nokia Shanghai Bell</w:t>
      </w:r>
    </w:p>
    <w:p w14:paraId="553D264F" w14:textId="7217037F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F2730D">
        <w:rPr>
          <w:rFonts w:ascii="Arial" w:hAnsi="Arial" w:cs="Arial"/>
          <w:b/>
          <w:bCs/>
          <w:sz w:val="24"/>
        </w:rPr>
        <w:t xml:space="preserve">Various </w:t>
      </w:r>
      <w:r w:rsidR="009F7805">
        <w:rPr>
          <w:rFonts w:ascii="Arial" w:hAnsi="Arial" w:cs="Arial"/>
          <w:b/>
          <w:bCs/>
          <w:sz w:val="24"/>
        </w:rPr>
        <w:t>Corrections</w:t>
      </w:r>
      <w:r w:rsidR="00F2730D">
        <w:rPr>
          <w:rFonts w:ascii="Arial" w:hAnsi="Arial" w:cs="Arial"/>
          <w:b/>
          <w:bCs/>
          <w:sz w:val="24"/>
        </w:rPr>
        <w:t xml:space="preserve"> and Open Points for Rel-18</w:t>
      </w:r>
      <w:r w:rsidR="009F7805">
        <w:rPr>
          <w:rFonts w:ascii="Arial" w:hAnsi="Arial" w:cs="Arial"/>
          <w:b/>
          <w:bCs/>
          <w:sz w:val="24"/>
        </w:rPr>
        <w:t xml:space="preserve"> NTN</w:t>
      </w:r>
    </w:p>
    <w:p w14:paraId="25F387E8" w14:textId="6016A079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65F19" w:rsidRPr="00D65F19">
        <w:rPr>
          <w:rFonts w:ascii="Arial" w:hAnsi="Arial" w:cs="Arial"/>
          <w:b/>
          <w:bCs/>
          <w:sz w:val="24"/>
        </w:rPr>
        <w:t>NR_NTN_enh</w:t>
      </w:r>
      <w:proofErr w:type="spellEnd"/>
      <w:r w:rsidR="00D65F19" w:rsidRPr="00D65F19">
        <w:rPr>
          <w:rFonts w:ascii="Arial" w:hAnsi="Arial" w:cs="Arial"/>
          <w:b/>
          <w:bCs/>
          <w:sz w:val="24"/>
        </w:rPr>
        <w:t xml:space="preserve">-Core </w:t>
      </w:r>
      <w:r w:rsidR="00420AD1" w:rsidRPr="00451A30">
        <w:rPr>
          <w:rFonts w:ascii="Arial" w:hAnsi="Arial" w:cs="Arial"/>
          <w:b/>
          <w:bCs/>
          <w:sz w:val="24"/>
        </w:rPr>
        <w:t>- Release 1</w:t>
      </w:r>
      <w:r w:rsidR="00D65F19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5A302ED" w14:textId="0A012408" w:rsidR="006D7CA2" w:rsidRDefault="00074C39" w:rsidP="0082367D">
      <w:r>
        <w:t xml:space="preserve">In this </w:t>
      </w:r>
      <w:r w:rsidR="00C43338" w:rsidRPr="00451A30">
        <w:t xml:space="preserve">paper we present our </w:t>
      </w:r>
      <w:r w:rsidR="007D1130">
        <w:t>view</w:t>
      </w:r>
      <w:r w:rsidR="00C43338" w:rsidRPr="00451A30">
        <w:t xml:space="preserve"> </w:t>
      </w:r>
      <w:r>
        <w:t xml:space="preserve">how to resolve </w:t>
      </w:r>
      <w:r w:rsidR="00BE5297">
        <w:t xml:space="preserve">the </w:t>
      </w:r>
      <w:r w:rsidR="00483597">
        <w:t xml:space="preserve">remaining </w:t>
      </w:r>
      <w:r w:rsidR="00BE5297">
        <w:t>Release 18</w:t>
      </w:r>
      <w:r>
        <w:t xml:space="preserve"> NTN issues</w:t>
      </w:r>
      <w:r w:rsidR="00C43338" w:rsidRPr="00451A30">
        <w:t>.</w:t>
      </w:r>
    </w:p>
    <w:p w14:paraId="7D484B6E" w14:textId="3BD33464" w:rsidR="009339CB" w:rsidRDefault="009339CB" w:rsidP="00531EC4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1AE1D61E" w14:textId="536C853C" w:rsidR="00D20456" w:rsidRDefault="00C82AC3" w:rsidP="00D20456">
      <w:pPr>
        <w:pStyle w:val="Heading2"/>
        <w:jc w:val="both"/>
      </w:pPr>
      <w:r>
        <w:t>2.1</w:t>
      </w:r>
      <w:r>
        <w:tab/>
      </w:r>
      <w:r w:rsidR="00BE5297">
        <w:t>FR2-NTN</w:t>
      </w:r>
    </w:p>
    <w:p w14:paraId="200DDE88" w14:textId="77777777" w:rsidR="00DC3256" w:rsidRDefault="00BE5297" w:rsidP="0082367D">
      <w:pPr>
        <w:jc w:val="both"/>
      </w:pPr>
      <w:r>
        <w:t>RAN1 during their RAN1#118 meeting (August 2024) has completed the work on supporting NR NTN in the FR2 frequency bands. During this discussion RAN1 has realized there are inconsistencies whether FR2-1 or FR2-2 procedures should apply to NTN’s FR2</w:t>
      </w:r>
      <w:r w:rsidR="00DC3256">
        <w:t xml:space="preserve"> (i.e. FR2-NTN)</w:t>
      </w:r>
      <w:r>
        <w:t>. It is important as RAN1 specifications define separate behaviour for FR2-1 and FR2-2.</w:t>
      </w:r>
    </w:p>
    <w:p w14:paraId="1ADF3832" w14:textId="7A61DB8A" w:rsidR="00236BE9" w:rsidRPr="00FC27A2" w:rsidRDefault="00DC3256" w:rsidP="0082367D">
      <w:pPr>
        <w:jc w:val="both"/>
        <w:rPr>
          <w:b/>
          <w:bCs/>
        </w:rPr>
      </w:pPr>
      <w:r w:rsidRPr="00FC27A2">
        <w:rPr>
          <w:b/>
          <w:bCs/>
        </w:rPr>
        <w:t xml:space="preserve">Observation 1: There are unclarities whether FR2-1 or FR2-2 procedures in various specifications should apply to the FR2-NTN. </w:t>
      </w:r>
      <w:r w:rsidR="00BE5297" w:rsidRPr="00FC27A2">
        <w:rPr>
          <w:b/>
          <w:bCs/>
        </w:rPr>
        <w:t xml:space="preserve"> </w:t>
      </w:r>
    </w:p>
    <w:p w14:paraId="5206BA34" w14:textId="41B205CE" w:rsidR="00BE5297" w:rsidRDefault="00B97035" w:rsidP="0082367D">
      <w:pPr>
        <w:jc w:val="both"/>
      </w:pPr>
      <w:r>
        <w:t xml:space="preserve">It was also discovered that a similar issue might be applicable to </w:t>
      </w:r>
      <w:r w:rsidR="00236BE9">
        <w:t xml:space="preserve">the existing </w:t>
      </w:r>
      <w:r>
        <w:t xml:space="preserve">RAN2 RRC parameters. RAN1 LS </w:t>
      </w:r>
      <w:r>
        <w:fldChar w:fldCharType="begin"/>
      </w:r>
      <w:r>
        <w:instrText xml:space="preserve"> REF _Ref178266839 \r \h </w:instrText>
      </w:r>
      <w:r w:rsidR="0082367D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lists the following exemplary parameters: </w:t>
      </w:r>
      <w:proofErr w:type="spellStart"/>
      <w:r w:rsidRPr="00236BE9">
        <w:rPr>
          <w:i/>
          <w:iCs/>
        </w:rPr>
        <w:t>subcarrierSpacing</w:t>
      </w:r>
      <w:proofErr w:type="spellEnd"/>
      <w:r>
        <w:t xml:space="preserve">, </w:t>
      </w:r>
      <w:proofErr w:type="spellStart"/>
      <w:r w:rsidRPr="00236BE9">
        <w:rPr>
          <w:i/>
          <w:iCs/>
        </w:rPr>
        <w:t>channelBWs</w:t>
      </w:r>
      <w:proofErr w:type="spellEnd"/>
      <w:r w:rsidRPr="00236BE9">
        <w:rPr>
          <w:i/>
          <w:iCs/>
        </w:rPr>
        <w:t>-DL</w:t>
      </w:r>
      <w:r w:rsidRPr="00B97035">
        <w:t xml:space="preserve">, </w:t>
      </w:r>
      <w:r w:rsidRPr="00236BE9">
        <w:rPr>
          <w:i/>
          <w:iCs/>
        </w:rPr>
        <w:t>configuredUL-GrantType1-v1650</w:t>
      </w:r>
      <w:r>
        <w:t xml:space="preserve">. These might be missing the reference to FR2-2 bands. </w:t>
      </w:r>
    </w:p>
    <w:p w14:paraId="0A600B4F" w14:textId="20951F52" w:rsidR="00B97035" w:rsidRPr="00B97035" w:rsidRDefault="00B97035" w:rsidP="0082367D">
      <w:pPr>
        <w:jc w:val="both"/>
        <w:rPr>
          <w:b/>
          <w:bCs/>
        </w:rPr>
      </w:pPr>
      <w:r w:rsidRPr="00B97035">
        <w:rPr>
          <w:b/>
          <w:bCs/>
        </w:rPr>
        <w:t xml:space="preserve">Observation </w:t>
      </w:r>
      <w:r w:rsidR="00FC27A2">
        <w:rPr>
          <w:b/>
          <w:bCs/>
        </w:rPr>
        <w:t>2</w:t>
      </w:r>
      <w:r w:rsidRPr="00B97035">
        <w:rPr>
          <w:b/>
          <w:bCs/>
        </w:rPr>
        <w:t>: RAN1 has discovered certain RRC parameters might not have appropriate indication which FR</w:t>
      </w:r>
      <w:r w:rsidR="00FC27A2">
        <w:rPr>
          <w:b/>
          <w:bCs/>
        </w:rPr>
        <w:t xml:space="preserve">2-x </w:t>
      </w:r>
      <w:r w:rsidRPr="00B97035">
        <w:rPr>
          <w:b/>
          <w:bCs/>
        </w:rPr>
        <w:t>they belong to</w:t>
      </w:r>
      <w:r w:rsidR="00FC27A2">
        <w:rPr>
          <w:b/>
          <w:bCs/>
        </w:rPr>
        <w:t xml:space="preserve"> (i.e. FR2-1, FR2-2, FR-NTN)</w:t>
      </w:r>
      <w:r w:rsidRPr="00B97035">
        <w:rPr>
          <w:b/>
          <w:bCs/>
        </w:rPr>
        <w:t xml:space="preserve">. </w:t>
      </w:r>
    </w:p>
    <w:p w14:paraId="5893CA11" w14:textId="65958733" w:rsidR="00B97035" w:rsidRDefault="00FC27A2" w:rsidP="0082367D">
      <w:pPr>
        <w:jc w:val="both"/>
      </w:pPr>
      <w:r>
        <w:t xml:space="preserve">According to </w:t>
      </w:r>
      <w:r>
        <w:fldChar w:fldCharType="begin"/>
      </w:r>
      <w:r>
        <w:instrText xml:space="preserve"> REF _Ref178780156 \r \h </w:instrText>
      </w:r>
      <w:r w:rsidR="0082367D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>, corresponding frequency ranges for FR2-1, FR2-2 and FR2-NTN are defined as follows:</w:t>
      </w:r>
    </w:p>
    <w:p w14:paraId="0A3B6866" w14:textId="10CA3809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FR2-1: </w:t>
      </w:r>
      <w:r w:rsidRPr="00FC27A2">
        <w:t>24250 MHz – 52600 MHz</w:t>
      </w:r>
    </w:p>
    <w:p w14:paraId="7871F6B6" w14:textId="079D1199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FR2-2: </w:t>
      </w:r>
      <w:r w:rsidRPr="00FC27A2">
        <w:t>52600 MHz – 71000 MHz</w:t>
      </w:r>
    </w:p>
    <w:p w14:paraId="723474CA" w14:textId="35AB50AC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FR2-NTN: </w:t>
      </w:r>
      <w:r w:rsidRPr="00FC27A2">
        <w:t>17300 MHz – 30000 MHz</w:t>
      </w:r>
    </w:p>
    <w:p w14:paraId="2ADB4D72" w14:textId="05C6B793" w:rsidR="00FC27A2" w:rsidRDefault="00FC27A2" w:rsidP="0082367D">
      <w:pPr>
        <w:jc w:val="both"/>
      </w:pPr>
      <w:r>
        <w:t>As can be noticed, FR2-NTN partly overlap</w:t>
      </w:r>
      <w:r w:rsidR="000C1A09">
        <w:t>s</w:t>
      </w:r>
      <w:r>
        <w:t xml:space="preserve"> with FR2-1. However, the lower frequency region in FR2-NTN is not comprised within FR2-1. </w:t>
      </w:r>
    </w:p>
    <w:p w14:paraId="3642F23D" w14:textId="4B204C48" w:rsidR="000C1A09" w:rsidRPr="000C1A09" w:rsidRDefault="000C1A09" w:rsidP="0082367D">
      <w:pPr>
        <w:jc w:val="both"/>
        <w:rPr>
          <w:b/>
          <w:bCs/>
        </w:rPr>
      </w:pPr>
      <w:r w:rsidRPr="000C1A09">
        <w:rPr>
          <w:b/>
          <w:bCs/>
        </w:rPr>
        <w:t>Observation 3: FR2-NTN partly overlaps with FR2-1. Its lower frequency regio</w:t>
      </w:r>
      <w:r w:rsidR="00B3351B">
        <w:rPr>
          <w:b/>
          <w:bCs/>
        </w:rPr>
        <w:t>n</w:t>
      </w:r>
      <w:r w:rsidRPr="000C1A09">
        <w:rPr>
          <w:b/>
          <w:bCs/>
        </w:rPr>
        <w:t xml:space="preserve"> is not comprised within FR2-1.</w:t>
      </w:r>
    </w:p>
    <w:p w14:paraId="56DA19E2" w14:textId="311C08E7" w:rsidR="00BE057F" w:rsidRDefault="000D1EEE" w:rsidP="0082367D">
      <w:pPr>
        <w:jc w:val="both"/>
      </w:pPr>
      <w:r>
        <w:t xml:space="preserve">Nevertheless, it can be assumed that </w:t>
      </w:r>
      <w:r w:rsidR="00AC56DD">
        <w:t xml:space="preserve">most of </w:t>
      </w:r>
      <w:r>
        <w:t xml:space="preserve">the parameters and procedures defined for FR2-1 (and not for FR2-2 which covers a completely different part of the spectrum, i.e. frequencies above </w:t>
      </w:r>
      <w:r w:rsidR="00710A07">
        <w:t xml:space="preserve">52 GHz according to </w:t>
      </w:r>
      <w:r w:rsidR="00710A07">
        <w:fldChar w:fldCharType="begin"/>
      </w:r>
      <w:r w:rsidR="00710A07">
        <w:instrText xml:space="preserve"> REF _Ref178780156 \r \h </w:instrText>
      </w:r>
      <w:r w:rsidR="0082367D">
        <w:instrText xml:space="preserve"> \* MERGEFORMAT </w:instrText>
      </w:r>
      <w:r w:rsidR="00710A07">
        <w:fldChar w:fldCharType="separate"/>
      </w:r>
      <w:r w:rsidR="00710A07">
        <w:t>[4]</w:t>
      </w:r>
      <w:r w:rsidR="00710A07">
        <w:fldChar w:fldCharType="end"/>
      </w:r>
      <w:r w:rsidR="00710A07">
        <w:t>)</w:t>
      </w:r>
      <w:r w:rsidR="00BE057F">
        <w:t xml:space="preserve"> can be applicable to FR2-NTN.</w:t>
      </w:r>
      <w:r w:rsidR="00F73748">
        <w:t xml:space="preserve"> We claim most of the parameters and procedures, as e.g. handover in FR2-NTN is much simplified when compared to </w:t>
      </w:r>
      <w:r w:rsidR="000F4364">
        <w:t>FR2-1 (e.g. no beam sweeping).</w:t>
      </w:r>
    </w:p>
    <w:p w14:paraId="4CC327F8" w14:textId="066140B5" w:rsidR="00BE057F" w:rsidRDefault="00BE057F" w:rsidP="0082367D">
      <w:pPr>
        <w:jc w:val="both"/>
        <w:rPr>
          <w:b/>
          <w:bCs/>
        </w:rPr>
      </w:pPr>
      <w:r w:rsidRPr="00770A70">
        <w:rPr>
          <w:b/>
          <w:bCs/>
        </w:rPr>
        <w:t xml:space="preserve">Proposal 1: RAN2 assumes the requirements and parameters for FR2-1 are </w:t>
      </w:r>
      <w:r w:rsidR="000F4364">
        <w:rPr>
          <w:b/>
          <w:bCs/>
        </w:rPr>
        <w:t xml:space="preserve">generally </w:t>
      </w:r>
      <w:r w:rsidRPr="00770A70">
        <w:rPr>
          <w:b/>
          <w:bCs/>
        </w:rPr>
        <w:t>applicable to FR2-NTN</w:t>
      </w:r>
      <w:r w:rsidR="0095597C">
        <w:rPr>
          <w:b/>
          <w:bCs/>
        </w:rPr>
        <w:t>, unless specified otherwise</w:t>
      </w:r>
      <w:r w:rsidR="00770A70" w:rsidRPr="00770A70">
        <w:rPr>
          <w:b/>
          <w:bCs/>
        </w:rPr>
        <w:t>.</w:t>
      </w:r>
    </w:p>
    <w:p w14:paraId="518E03B5" w14:textId="1E64C827" w:rsidR="002458B7" w:rsidRDefault="00CE67AD" w:rsidP="0082367D">
      <w:pPr>
        <w:jc w:val="both"/>
      </w:pPr>
      <w:r w:rsidRPr="00CE67AD">
        <w:t>At RAN2#127bis</w:t>
      </w:r>
      <w:r w:rsidR="00A3710D">
        <w:t xml:space="preserve"> the following has been agreed </w:t>
      </w:r>
      <w:r w:rsidR="00A3710D">
        <w:fldChar w:fldCharType="begin"/>
      </w:r>
      <w:r w:rsidR="00A3710D">
        <w:instrText xml:space="preserve"> REF _Ref181269931 \r \h </w:instrText>
      </w:r>
      <w:r w:rsidR="00A3710D">
        <w:fldChar w:fldCharType="separate"/>
      </w:r>
      <w:r w:rsidR="00A3710D">
        <w:t>[5]</w:t>
      </w:r>
      <w:r w:rsidR="00A3710D">
        <w:fldChar w:fldCharType="end"/>
      </w:r>
      <w:r w:rsidR="00A3710D">
        <w:t xml:space="preserve"> when discussing the CR</w:t>
      </w:r>
      <w:r w:rsidR="002458B7">
        <w:t xml:space="preserve"> </w:t>
      </w:r>
      <w:r w:rsidR="002458B7">
        <w:fldChar w:fldCharType="begin"/>
      </w:r>
      <w:r w:rsidR="002458B7">
        <w:instrText xml:space="preserve"> REF _Ref181270155 \r \h </w:instrText>
      </w:r>
      <w:r w:rsidR="002458B7">
        <w:fldChar w:fldCharType="separate"/>
      </w:r>
      <w:r w:rsidR="002458B7">
        <w:t>[6]</w:t>
      </w:r>
      <w:r w:rsidR="002458B7">
        <w:fldChar w:fldCharType="end"/>
      </w:r>
      <w:r w:rsidR="002458B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58B7" w14:paraId="5C240F45" w14:textId="77777777" w:rsidTr="002458B7">
        <w:tc>
          <w:tcPr>
            <w:tcW w:w="9629" w:type="dxa"/>
          </w:tcPr>
          <w:p w14:paraId="6B8E32CE" w14:textId="77777777" w:rsidR="002458B7" w:rsidRDefault="002458B7" w:rsidP="002458B7">
            <w:pPr>
              <w:pStyle w:val="Agreement"/>
              <w:tabs>
                <w:tab w:val="left" w:pos="1619"/>
              </w:tabs>
            </w:pPr>
            <w:r>
              <w:t xml:space="preserve">We take this CR as a basis, apart from the fist change where we consider the proposal in </w:t>
            </w:r>
            <w:hyperlink r:id="rId13" w:history="1">
              <w:r>
                <w:rPr>
                  <w:rStyle w:val="Hyperlink"/>
                </w:rPr>
                <w:t>R2-2408012</w:t>
              </w:r>
            </w:hyperlink>
          </w:p>
          <w:p w14:paraId="004E6FCF" w14:textId="2C218E81" w:rsidR="002458B7" w:rsidRDefault="002458B7" w:rsidP="002458B7">
            <w:pPr>
              <w:pStyle w:val="Agreement"/>
              <w:tabs>
                <w:tab w:val="left" w:pos="1619"/>
              </w:tabs>
            </w:pPr>
            <w:r>
              <w:t>Come back in the next meeting (a single CR from ZTE and vivo is expected in the next meeting)</w:t>
            </w:r>
            <w:r>
              <w:br/>
            </w:r>
          </w:p>
        </w:tc>
      </w:tr>
    </w:tbl>
    <w:p w14:paraId="26136EB5" w14:textId="5C0DB27E" w:rsidR="00505CB9" w:rsidRDefault="0092291F" w:rsidP="0082367D">
      <w:pPr>
        <w:jc w:val="both"/>
      </w:pPr>
      <w:r>
        <w:br/>
        <w:t>There is a large number of parameters and capabilities which might be impacted with the need to cover FR2-NTN. During RAN2#127bis discussions</w:t>
      </w:r>
      <w:r w:rsidR="00CE67AD" w:rsidRPr="00CE67AD">
        <w:t xml:space="preserve"> </w:t>
      </w:r>
      <w:r>
        <w:t xml:space="preserve">we suggested to capture somewhere a general statement or a pointer to </w:t>
      </w:r>
      <w:r w:rsidR="00430748">
        <w:t xml:space="preserve">TS </w:t>
      </w:r>
      <w:r>
        <w:t xml:space="preserve">38.101 which would be used to clarify which requirements apply to FR2-NTN. </w:t>
      </w:r>
    </w:p>
    <w:p w14:paraId="63E4172F" w14:textId="6EE20040" w:rsidR="0092291F" w:rsidRPr="00D36185" w:rsidRDefault="0092291F" w:rsidP="0082367D">
      <w:pPr>
        <w:jc w:val="both"/>
        <w:rPr>
          <w:b/>
          <w:bCs/>
        </w:rPr>
      </w:pPr>
      <w:r w:rsidRPr="00D36185">
        <w:rPr>
          <w:b/>
          <w:bCs/>
        </w:rPr>
        <w:t xml:space="preserve">Proposal 2: </w:t>
      </w:r>
      <w:r w:rsidR="00D36185" w:rsidRPr="00D36185">
        <w:rPr>
          <w:b/>
          <w:bCs/>
        </w:rPr>
        <w:t>Consider a general statement</w:t>
      </w:r>
      <w:r w:rsidR="002E146F">
        <w:rPr>
          <w:b/>
          <w:bCs/>
        </w:rPr>
        <w:t xml:space="preserve"> in RAN2 Technical Specifications</w:t>
      </w:r>
      <w:r w:rsidR="00D36185" w:rsidRPr="00D36185">
        <w:rPr>
          <w:b/>
          <w:bCs/>
        </w:rPr>
        <w:t xml:space="preserve"> or a pointer to</w:t>
      </w:r>
      <w:r w:rsidR="002E146F">
        <w:rPr>
          <w:b/>
          <w:bCs/>
        </w:rPr>
        <w:t xml:space="preserve"> TS </w:t>
      </w:r>
      <w:r w:rsidR="00D36185" w:rsidRPr="00D36185">
        <w:rPr>
          <w:b/>
          <w:bCs/>
        </w:rPr>
        <w:t xml:space="preserve">38.101 to reflect which requirements apply to FR2-NTN. </w:t>
      </w:r>
    </w:p>
    <w:p w14:paraId="284F0B57" w14:textId="0FEF680E" w:rsidR="0092291F" w:rsidRDefault="002E146F" w:rsidP="0082367D">
      <w:pPr>
        <w:jc w:val="both"/>
      </w:pPr>
      <w:r>
        <w:t xml:space="preserve">Alternatively, a single CR correcting all impacted fields and IEs can be approved in RAN2. </w:t>
      </w:r>
    </w:p>
    <w:p w14:paraId="148B57A3" w14:textId="2474B7B4" w:rsidR="00EC1C75" w:rsidRPr="00EC1C75" w:rsidRDefault="00EC1C75" w:rsidP="0082367D">
      <w:pPr>
        <w:jc w:val="both"/>
        <w:rPr>
          <w:b/>
          <w:bCs/>
        </w:rPr>
      </w:pPr>
      <w:r w:rsidRPr="00EC1C75">
        <w:rPr>
          <w:b/>
          <w:bCs/>
        </w:rPr>
        <w:t>Proposal 3: If Proposal 2 is not agreeable, RAN2 agrees a single CR fixing the FR2-NTN requirements for all affected fields/IEs.</w:t>
      </w:r>
    </w:p>
    <w:p w14:paraId="7C5D7E3E" w14:textId="02CD8EAB" w:rsidR="00505CB9" w:rsidRDefault="00BE5297">
      <w:pPr>
        <w:pStyle w:val="Heading2"/>
      </w:pPr>
      <w:r>
        <w:t>2.2</w:t>
      </w:r>
      <w:r>
        <w:tab/>
      </w:r>
      <w:r w:rsidR="00505CB9">
        <w:t>RACH-less</w:t>
      </w:r>
      <w:r w:rsidR="00EC1C75">
        <w:t xml:space="preserve"> HO</w:t>
      </w:r>
      <w:r w:rsidR="00505CB9">
        <w:t xml:space="preserve"> in inter-</w:t>
      </w:r>
      <w:proofErr w:type="spellStart"/>
      <w:r w:rsidR="00505CB9">
        <w:t>gNB</w:t>
      </w:r>
      <w:proofErr w:type="spellEnd"/>
      <w:r w:rsidR="00505CB9">
        <w:t xml:space="preserve"> scenario</w:t>
      </w:r>
    </w:p>
    <w:p w14:paraId="3AF86663" w14:textId="7F7AF911" w:rsidR="00505CB9" w:rsidRDefault="00EC1C75" w:rsidP="00505CB9">
      <w:r>
        <w:t>During RAN2#127bis it was attempted to clarify if RACH-less HO is applicable to inter-</w:t>
      </w:r>
      <w:proofErr w:type="spellStart"/>
      <w:r>
        <w:t>gNB</w:t>
      </w:r>
      <w:proofErr w:type="spellEnd"/>
      <w:r>
        <w:t xml:space="preserve"> scenario. The discussion occurred in the RAN2 main session, but also in NTN to decide specifically if RACH-less HO can be applicable to inter-</w:t>
      </w:r>
      <w:proofErr w:type="spellStart"/>
      <w:r>
        <w:t>gNB</w:t>
      </w:r>
      <w:proofErr w:type="spellEnd"/>
      <w:r>
        <w:t xml:space="preserve"> scenario </w:t>
      </w:r>
      <w:r w:rsidR="005E2EE5">
        <w:t xml:space="preserve">at least for </w:t>
      </w:r>
      <w:r>
        <w:t>Non-Terrestrial Networks</w:t>
      </w:r>
      <w:r w:rsidR="004F7ED9">
        <w:t xml:space="preserve"> (NTN)</w:t>
      </w:r>
      <w:r>
        <w:t xml:space="preserve">. </w:t>
      </w:r>
    </w:p>
    <w:p w14:paraId="28B48293" w14:textId="66815CD8" w:rsidR="000448D0" w:rsidRPr="00D934B3" w:rsidRDefault="000448D0" w:rsidP="00505CB9">
      <w:pPr>
        <w:rPr>
          <w:b/>
          <w:bCs/>
        </w:rPr>
      </w:pPr>
      <w:r w:rsidRPr="00D934B3">
        <w:rPr>
          <w:b/>
          <w:bCs/>
        </w:rPr>
        <w:t xml:space="preserve">Observation </w:t>
      </w:r>
      <w:r w:rsidR="004F7ED9">
        <w:rPr>
          <w:b/>
          <w:bCs/>
        </w:rPr>
        <w:t>4</w:t>
      </w:r>
      <w:r w:rsidRPr="00D934B3">
        <w:rPr>
          <w:b/>
          <w:bCs/>
        </w:rPr>
        <w:t>:</w:t>
      </w:r>
      <w:r w:rsidR="00D934B3" w:rsidRPr="00D934B3">
        <w:rPr>
          <w:b/>
          <w:bCs/>
        </w:rPr>
        <w:t xml:space="preserve"> At RAN2#127bis it was attempted to clarify if RACH-less HO can be used also in inter-</w:t>
      </w:r>
      <w:proofErr w:type="spellStart"/>
      <w:r w:rsidR="00D934B3" w:rsidRPr="00D934B3">
        <w:rPr>
          <w:b/>
          <w:bCs/>
        </w:rPr>
        <w:t>gNB</w:t>
      </w:r>
      <w:proofErr w:type="spellEnd"/>
      <w:r w:rsidR="00D934B3" w:rsidRPr="00D934B3">
        <w:rPr>
          <w:b/>
          <w:bCs/>
        </w:rPr>
        <w:t xml:space="preserve"> scenario, at least for NTN.</w:t>
      </w:r>
    </w:p>
    <w:p w14:paraId="3AF1B659" w14:textId="36CC6291" w:rsidR="00686224" w:rsidRDefault="005E2EE5" w:rsidP="00505CB9">
      <w:r>
        <w:t>Some</w:t>
      </w:r>
      <w:r w:rsidR="004F7ED9">
        <w:t xml:space="preserve"> (valid)</w:t>
      </w:r>
      <w:r>
        <w:t xml:space="preserve"> concerns have been raised that RACH-less in Rel-18 has been deliberately specified as intra-</w:t>
      </w:r>
      <w:proofErr w:type="spellStart"/>
      <w:r>
        <w:t>gNB</w:t>
      </w:r>
      <w:proofErr w:type="spellEnd"/>
      <w:r>
        <w:t xml:space="preserve"> feature in order to avoid any impacts to RAN WG3 (as the decision to support RACH-less HO for baseline mobility has been done late during the Release 18 work</w:t>
      </w:r>
      <w:r w:rsidR="00686224">
        <w:t xml:space="preserve"> and it was not clear how much effort it may require in RAN3</w:t>
      </w:r>
      <w:r>
        <w:t>).</w:t>
      </w:r>
    </w:p>
    <w:p w14:paraId="4EC255AE" w14:textId="533346C6" w:rsidR="00686224" w:rsidRPr="00686224" w:rsidRDefault="00686224" w:rsidP="00505CB9">
      <w:pPr>
        <w:rPr>
          <w:b/>
          <w:bCs/>
        </w:rPr>
      </w:pPr>
      <w:r w:rsidRPr="00686224">
        <w:rPr>
          <w:b/>
          <w:bCs/>
        </w:rPr>
        <w:t xml:space="preserve">Observation </w:t>
      </w:r>
      <w:r w:rsidR="004F7ED9">
        <w:rPr>
          <w:b/>
          <w:bCs/>
        </w:rPr>
        <w:t>5</w:t>
      </w:r>
      <w:r w:rsidRPr="00686224">
        <w:rPr>
          <w:b/>
          <w:bCs/>
        </w:rPr>
        <w:t>: During Release 18 the decision has been made to limit the RACH-less HO applicability to intra-</w:t>
      </w:r>
      <w:proofErr w:type="spellStart"/>
      <w:r w:rsidRPr="00686224">
        <w:rPr>
          <w:b/>
          <w:bCs/>
        </w:rPr>
        <w:t>gNB</w:t>
      </w:r>
      <w:proofErr w:type="spellEnd"/>
      <w:r w:rsidRPr="00686224">
        <w:rPr>
          <w:b/>
          <w:bCs/>
        </w:rPr>
        <w:t xml:space="preserve"> scenario, as it was not clear how much work might be required in RAN WG3. </w:t>
      </w:r>
    </w:p>
    <w:p w14:paraId="38D0CD0A" w14:textId="6BB4A303" w:rsidR="00C0321C" w:rsidRDefault="00686224" w:rsidP="00505CB9">
      <w:r>
        <w:t>The Stage-2 description of RACH-less handover, captured in section 9.2.3.6 of TS 38.300 is written in a way which does not leave any doubts – RACH-less handover in Release 18 is limited to intra-</w:t>
      </w:r>
      <w:proofErr w:type="spellStart"/>
      <w:r>
        <w:t>gNB</w:t>
      </w:r>
      <w:proofErr w:type="spellEnd"/>
      <w:r>
        <w:t xml:space="preserve"> scenario. </w:t>
      </w:r>
    </w:p>
    <w:p w14:paraId="35607000" w14:textId="31927B02" w:rsidR="00C0321C" w:rsidRPr="00C0321C" w:rsidRDefault="00C0321C" w:rsidP="00505CB9">
      <w:pPr>
        <w:rPr>
          <w:b/>
          <w:bCs/>
        </w:rPr>
      </w:pPr>
      <w:r w:rsidRPr="00C0321C">
        <w:rPr>
          <w:b/>
          <w:bCs/>
        </w:rPr>
        <w:t xml:space="preserve">Observation </w:t>
      </w:r>
      <w:r w:rsidR="004F7ED9">
        <w:rPr>
          <w:b/>
          <w:bCs/>
        </w:rPr>
        <w:t>6</w:t>
      </w:r>
      <w:r w:rsidRPr="00C0321C">
        <w:rPr>
          <w:b/>
          <w:bCs/>
        </w:rPr>
        <w:t>: The description of RACH-less handover, captured in section 9.2.3.6 of TS 38.300, clearly limits the applicability to intra-</w:t>
      </w:r>
      <w:proofErr w:type="spellStart"/>
      <w:r w:rsidRPr="00C0321C">
        <w:rPr>
          <w:b/>
          <w:bCs/>
        </w:rPr>
        <w:t>gNB</w:t>
      </w:r>
      <w:proofErr w:type="spellEnd"/>
      <w:r w:rsidRPr="00C0321C">
        <w:rPr>
          <w:b/>
          <w:bCs/>
        </w:rPr>
        <w:t xml:space="preserve"> case.</w:t>
      </w:r>
    </w:p>
    <w:p w14:paraId="4443298C" w14:textId="12A33E88" w:rsidR="007A5021" w:rsidRDefault="00483597" w:rsidP="00505CB9">
      <w:r w:rsidRPr="00361FA9">
        <w:rPr>
          <w:i/>
          <w:iCs/>
        </w:rPr>
        <w:t>RACH-LessHO-r18</w:t>
      </w:r>
      <w:r>
        <w:t xml:space="preserve"> is an IE included in </w:t>
      </w:r>
      <w:proofErr w:type="spellStart"/>
      <w:r w:rsidRPr="00361FA9">
        <w:rPr>
          <w:i/>
          <w:iCs/>
        </w:rPr>
        <w:t>ReconfigurationWithSync</w:t>
      </w:r>
      <w:proofErr w:type="spellEnd"/>
      <w:r w:rsidR="007B24C4">
        <w:t xml:space="preserve"> </w:t>
      </w:r>
      <w:r w:rsidR="007B24C4">
        <w:fldChar w:fldCharType="begin"/>
      </w:r>
      <w:r w:rsidR="007B24C4">
        <w:instrText xml:space="preserve"> REF _Ref181305003 \r \h </w:instrText>
      </w:r>
      <w:r w:rsidR="007B24C4">
        <w:fldChar w:fldCharType="separate"/>
      </w:r>
      <w:r w:rsidR="007B24C4">
        <w:t>[7]</w:t>
      </w:r>
      <w:r w:rsidR="007B24C4">
        <w:fldChar w:fldCharType="end"/>
      </w:r>
      <w:r w:rsidR="007B24C4">
        <w:t xml:space="preserve">. It comprises </w:t>
      </w:r>
      <w:proofErr w:type="spellStart"/>
      <w:r w:rsidR="007B24C4" w:rsidRPr="00361FA9">
        <w:rPr>
          <w:i/>
          <w:iCs/>
        </w:rPr>
        <w:t>targetNTA</w:t>
      </w:r>
      <w:proofErr w:type="spellEnd"/>
      <w:r w:rsidR="007B24C4">
        <w:t xml:space="preserve"> and </w:t>
      </w:r>
      <w:proofErr w:type="spellStart"/>
      <w:r w:rsidR="007B24C4" w:rsidRPr="00361FA9">
        <w:rPr>
          <w:i/>
          <w:iCs/>
        </w:rPr>
        <w:t>beamIndication</w:t>
      </w:r>
      <w:proofErr w:type="spellEnd"/>
      <w:r w:rsidR="007B24C4">
        <w:t>. When it comes to inter-</w:t>
      </w:r>
      <w:proofErr w:type="spellStart"/>
      <w:r w:rsidR="007B24C4">
        <w:t>gNB</w:t>
      </w:r>
      <w:proofErr w:type="spellEnd"/>
      <w:r w:rsidR="007B24C4">
        <w:t xml:space="preserve"> signalling, </w:t>
      </w:r>
      <w:proofErr w:type="spellStart"/>
      <w:r w:rsidR="007B24C4" w:rsidRPr="00361FA9">
        <w:rPr>
          <w:i/>
          <w:iCs/>
        </w:rPr>
        <w:t>ReconfigurationWithSync</w:t>
      </w:r>
      <w:proofErr w:type="spellEnd"/>
      <w:r w:rsidR="007B24C4">
        <w:t xml:space="preserve"> is sent</w:t>
      </w:r>
      <w:r w:rsidR="00115F60">
        <w:t xml:space="preserve"> in transparent RRC container</w:t>
      </w:r>
      <w:r w:rsidR="0093277B">
        <w:t xml:space="preserve">. It is prepared by </w:t>
      </w:r>
      <w:r w:rsidR="00C01052">
        <w:t xml:space="preserve">target cell and source cell </w:t>
      </w:r>
      <w:r w:rsidR="004F7ED9">
        <w:t xml:space="preserve">theoretically </w:t>
      </w:r>
      <w:r w:rsidR="00C01052">
        <w:t>does not need</w:t>
      </w:r>
      <w:r w:rsidR="00361FA9">
        <w:t xml:space="preserve"> to</w:t>
      </w:r>
      <w:r w:rsidR="00083BE6">
        <w:t xml:space="preserve"> know the details of this configuration.</w:t>
      </w:r>
    </w:p>
    <w:p w14:paraId="66979BD6" w14:textId="1FB9C55F" w:rsidR="00483597" w:rsidRPr="00505066" w:rsidRDefault="007A5021" w:rsidP="00505CB9">
      <w:pPr>
        <w:rPr>
          <w:b/>
          <w:bCs/>
        </w:rPr>
      </w:pPr>
      <w:r w:rsidRPr="00505066">
        <w:rPr>
          <w:b/>
          <w:bCs/>
        </w:rPr>
        <w:t xml:space="preserve">Observation </w:t>
      </w:r>
      <w:r w:rsidR="00B127D9">
        <w:rPr>
          <w:b/>
          <w:bCs/>
        </w:rPr>
        <w:t>7</w:t>
      </w:r>
      <w:r w:rsidRPr="00505066">
        <w:rPr>
          <w:b/>
          <w:bCs/>
        </w:rPr>
        <w:t xml:space="preserve">: </w:t>
      </w:r>
      <w:r w:rsidR="00505066" w:rsidRPr="00505066">
        <w:rPr>
          <w:b/>
          <w:bCs/>
        </w:rPr>
        <w:t xml:space="preserve">RACH-less HO is decided and configured by target cell and included in </w:t>
      </w:r>
      <w:proofErr w:type="spellStart"/>
      <w:r w:rsidR="00505066" w:rsidRPr="00505066">
        <w:rPr>
          <w:b/>
          <w:bCs/>
          <w:i/>
          <w:iCs/>
        </w:rPr>
        <w:t>ReconfigurationWithSync</w:t>
      </w:r>
      <w:proofErr w:type="spellEnd"/>
      <w:r w:rsidR="00505066" w:rsidRPr="00505066">
        <w:rPr>
          <w:b/>
          <w:bCs/>
        </w:rPr>
        <w:t>.</w:t>
      </w:r>
      <w:r w:rsidR="00083BE6" w:rsidRPr="00505066">
        <w:rPr>
          <w:b/>
          <w:bCs/>
        </w:rPr>
        <w:t xml:space="preserve"> </w:t>
      </w:r>
      <w:r w:rsidR="003700D0">
        <w:rPr>
          <w:b/>
          <w:bCs/>
        </w:rPr>
        <w:t xml:space="preserve">Source cell </w:t>
      </w:r>
      <w:r w:rsidR="004F7ED9">
        <w:rPr>
          <w:b/>
          <w:bCs/>
        </w:rPr>
        <w:t xml:space="preserve">theoretically </w:t>
      </w:r>
      <w:r w:rsidR="003700D0">
        <w:rPr>
          <w:b/>
          <w:bCs/>
        </w:rPr>
        <w:t xml:space="preserve">does not need to comprehend this value and </w:t>
      </w:r>
      <w:r w:rsidR="00B127D9">
        <w:rPr>
          <w:b/>
          <w:bCs/>
        </w:rPr>
        <w:t xml:space="preserve">just </w:t>
      </w:r>
      <w:r w:rsidR="003700D0">
        <w:rPr>
          <w:b/>
          <w:bCs/>
        </w:rPr>
        <w:t>forwards the RRC container to the UE.</w:t>
      </w:r>
    </w:p>
    <w:p w14:paraId="7C096035" w14:textId="49D7141E" w:rsidR="00505066" w:rsidRPr="00114B1A" w:rsidRDefault="0031643D" w:rsidP="00505CB9">
      <w:pPr>
        <w:rPr>
          <w:b/>
          <w:bCs/>
        </w:rPr>
      </w:pPr>
      <w:r w:rsidRPr="00114B1A">
        <w:rPr>
          <w:b/>
          <w:bCs/>
        </w:rPr>
        <w:t xml:space="preserve">Observation </w:t>
      </w:r>
      <w:r w:rsidR="00B127D9">
        <w:rPr>
          <w:b/>
          <w:bCs/>
        </w:rPr>
        <w:t>8</w:t>
      </w:r>
      <w:r w:rsidRPr="00114B1A">
        <w:rPr>
          <w:b/>
          <w:bCs/>
        </w:rPr>
        <w:t xml:space="preserve">: </w:t>
      </w:r>
      <w:r w:rsidRPr="00B127D9">
        <w:rPr>
          <w:b/>
          <w:bCs/>
          <w:i/>
          <w:iCs/>
        </w:rPr>
        <w:t>RACH-</w:t>
      </w:r>
      <w:proofErr w:type="spellStart"/>
      <w:r w:rsidRPr="00B127D9">
        <w:rPr>
          <w:b/>
          <w:bCs/>
          <w:i/>
          <w:iCs/>
        </w:rPr>
        <w:t>LessHO</w:t>
      </w:r>
      <w:proofErr w:type="spellEnd"/>
      <w:r w:rsidR="00B127D9">
        <w:rPr>
          <w:b/>
          <w:bCs/>
        </w:rPr>
        <w:t xml:space="preserve"> IE</w:t>
      </w:r>
      <w:r w:rsidR="00114B1A" w:rsidRPr="00114B1A">
        <w:rPr>
          <w:b/>
          <w:bCs/>
        </w:rPr>
        <w:t xml:space="preserve"> comprises target NTA value and beam indication (either TCI state or SSB index).</w:t>
      </w:r>
    </w:p>
    <w:p w14:paraId="7BF95706" w14:textId="4EE7A28A" w:rsidR="000D3937" w:rsidRDefault="000D3937" w:rsidP="00505CB9">
      <w:r>
        <w:t>In order to set th</w:t>
      </w:r>
      <w:r w:rsidR="00CB7550">
        <w:t xml:space="preserve">is information properly (e.g. beam information), the target cell needs to obtain relevant measurement information from the source cell. However, that seems to be possible according to </w:t>
      </w:r>
      <w:r w:rsidR="00CB7550">
        <w:fldChar w:fldCharType="begin"/>
      </w:r>
      <w:r w:rsidR="00CB7550">
        <w:instrText xml:space="preserve"> REF _Ref181305003 \r \h </w:instrText>
      </w:r>
      <w:r w:rsidR="00CB7550">
        <w:fldChar w:fldCharType="separate"/>
      </w:r>
      <w:r w:rsidR="00CB7550">
        <w:t>[7]</w:t>
      </w:r>
      <w:r w:rsidR="00CB7550">
        <w:fldChar w:fldCharType="end"/>
      </w:r>
      <w:r w:rsidR="00CB7550">
        <w:t>.</w:t>
      </w:r>
      <w:r w:rsidR="005E4036">
        <w:t xml:space="preserve"> </w:t>
      </w:r>
      <w:proofErr w:type="spellStart"/>
      <w:r w:rsidR="00793766" w:rsidRPr="001E65B6">
        <w:rPr>
          <w:i/>
          <w:iCs/>
        </w:rPr>
        <w:t>HOPreparationInformation</w:t>
      </w:r>
      <w:proofErr w:type="spellEnd"/>
      <w:r w:rsidR="005E4036">
        <w:t xml:space="preserve"> contains a list </w:t>
      </w:r>
      <w:r w:rsidR="005E4036" w:rsidRPr="001E65B6">
        <w:rPr>
          <w:i/>
          <w:iCs/>
        </w:rPr>
        <w:t xml:space="preserve">of </w:t>
      </w:r>
      <w:proofErr w:type="spellStart"/>
      <w:r w:rsidR="00A90698" w:rsidRPr="001E65B6">
        <w:rPr>
          <w:i/>
          <w:iCs/>
        </w:rPr>
        <w:t>MeasResultNR</w:t>
      </w:r>
      <w:proofErr w:type="spellEnd"/>
      <w:r w:rsidR="008D1594">
        <w:t>, which provides the</w:t>
      </w:r>
      <w:r w:rsidR="00793766">
        <w:t xml:space="preserve"> measurement results per SSB or CSI-RS. </w:t>
      </w:r>
      <w:r w:rsidR="001E65B6">
        <w:t>Thus,</w:t>
      </w:r>
      <w:r w:rsidR="00793766">
        <w:t xml:space="preserve"> it can be assumed the target cell may prepare the </w:t>
      </w:r>
      <w:r w:rsidR="001E65B6">
        <w:t>beam indication on this basis.</w:t>
      </w:r>
      <w:r w:rsidR="008D1594">
        <w:t xml:space="preserve"> </w:t>
      </w:r>
    </w:p>
    <w:p w14:paraId="288E581B" w14:textId="31F53E2C" w:rsidR="00D9197E" w:rsidRPr="00D9197E" w:rsidRDefault="00D9197E" w:rsidP="00505CB9">
      <w:pPr>
        <w:rPr>
          <w:b/>
          <w:bCs/>
        </w:rPr>
      </w:pPr>
      <w:r w:rsidRPr="00D9197E">
        <w:rPr>
          <w:b/>
          <w:bCs/>
        </w:rPr>
        <w:t xml:space="preserve">Observation </w:t>
      </w:r>
      <w:r w:rsidR="00B127D9">
        <w:rPr>
          <w:b/>
          <w:bCs/>
        </w:rPr>
        <w:t>9</w:t>
      </w:r>
      <w:r w:rsidRPr="00D9197E">
        <w:rPr>
          <w:b/>
          <w:bCs/>
        </w:rPr>
        <w:t xml:space="preserve">: Target cell obtains a list of SSB-based or CSI-RS-based measurement results when HO Preparation is done. </w:t>
      </w:r>
    </w:p>
    <w:p w14:paraId="12BE6195" w14:textId="306B8769" w:rsidR="000448D0" w:rsidRDefault="00C228A3" w:rsidP="00505CB9">
      <w:r>
        <w:t>Thus</w:t>
      </w:r>
      <w:r w:rsidR="00483597">
        <w:t>, we do not think there are major blocking points to allow RACH-less handover also in inter-</w:t>
      </w:r>
      <w:proofErr w:type="spellStart"/>
      <w:r w:rsidR="00483597">
        <w:t>gNB</w:t>
      </w:r>
      <w:proofErr w:type="spellEnd"/>
      <w:r w:rsidR="00483597">
        <w:t xml:space="preserve"> scenario.</w:t>
      </w:r>
      <w:r w:rsidR="00F23C1E">
        <w:t xml:space="preserve"> It should be allowed if NW </w:t>
      </w:r>
      <w:r w:rsidR="00B17850">
        <w:t xml:space="preserve">implementation can handle it. </w:t>
      </w:r>
      <w:r w:rsidR="005E2EE5">
        <w:t xml:space="preserve"> </w:t>
      </w:r>
    </w:p>
    <w:p w14:paraId="4CE8B32E" w14:textId="46C06300" w:rsidR="00C228A3" w:rsidRPr="00991762" w:rsidRDefault="00C228A3" w:rsidP="00505CB9">
      <w:pPr>
        <w:rPr>
          <w:b/>
          <w:bCs/>
        </w:rPr>
      </w:pPr>
      <w:r w:rsidRPr="00991762">
        <w:rPr>
          <w:b/>
          <w:bCs/>
        </w:rPr>
        <w:t>Proposal 4: Support RACH-less HO also in inter-</w:t>
      </w:r>
      <w:proofErr w:type="spellStart"/>
      <w:r w:rsidR="00991762" w:rsidRPr="00991762">
        <w:rPr>
          <w:b/>
          <w:bCs/>
        </w:rPr>
        <w:t>gNB</w:t>
      </w:r>
      <w:proofErr w:type="spellEnd"/>
      <w:r w:rsidR="00991762" w:rsidRPr="00991762">
        <w:rPr>
          <w:b/>
          <w:bCs/>
        </w:rPr>
        <w:t xml:space="preserve"> scenarios</w:t>
      </w:r>
      <w:r w:rsidR="00B17850">
        <w:rPr>
          <w:b/>
          <w:bCs/>
        </w:rPr>
        <w:t xml:space="preserve"> for NTN</w:t>
      </w:r>
      <w:r w:rsidR="00991762" w:rsidRPr="00991762">
        <w:rPr>
          <w:b/>
          <w:bCs/>
        </w:rPr>
        <w:t>.</w:t>
      </w:r>
    </w:p>
    <w:p w14:paraId="667CB99B" w14:textId="3EF85491" w:rsidR="00505CB9" w:rsidRDefault="00505CB9">
      <w:pPr>
        <w:pStyle w:val="Heading2"/>
      </w:pPr>
      <w:r>
        <w:t>2.3 SIB19 acquisition in IDLE mode</w:t>
      </w:r>
    </w:p>
    <w:p w14:paraId="0C896769" w14:textId="5D63C76C" w:rsidR="00505CB9" w:rsidRDefault="00B94E9E" w:rsidP="00505CB9">
      <w:r>
        <w:t xml:space="preserve">During the discussions at RAN2#127bis the following understanding has been </w:t>
      </w:r>
      <w:r w:rsidR="00D33569">
        <w:t xml:space="preserve">written in the </w:t>
      </w:r>
      <w:r w:rsidR="008904AD">
        <w:t xml:space="preserve">Session </w:t>
      </w:r>
      <w:r w:rsidR="00D33569">
        <w:t>Chair notes</w:t>
      </w:r>
      <w:r w:rsidR="008904AD">
        <w:t xml:space="preserve"> </w:t>
      </w:r>
      <w:r w:rsidR="008904AD">
        <w:fldChar w:fldCharType="begin"/>
      </w:r>
      <w:r w:rsidR="008904AD">
        <w:instrText xml:space="preserve"> REF _Ref181269931 \r \h </w:instrText>
      </w:r>
      <w:r w:rsidR="008904AD">
        <w:fldChar w:fldCharType="separate"/>
      </w:r>
      <w:r w:rsidR="008904AD">
        <w:t>[5]</w:t>
      </w:r>
      <w:r w:rsidR="008904AD">
        <w:fldChar w:fldCharType="end"/>
      </w:r>
      <w:r w:rsidR="00D3356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3569" w14:paraId="5988873D" w14:textId="77777777" w:rsidTr="00D33569">
        <w:tc>
          <w:tcPr>
            <w:tcW w:w="9629" w:type="dxa"/>
          </w:tcPr>
          <w:p w14:paraId="5573E0EB" w14:textId="29800B7F" w:rsidR="00D33569" w:rsidRPr="0012145F" w:rsidRDefault="005D1934" w:rsidP="005D193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r w:rsidRPr="0012145F">
              <w:rPr>
                <w:rFonts w:ascii="Arial" w:hAnsi="Arial" w:cs="Arial"/>
                <w:b/>
                <w:bCs/>
              </w:rPr>
              <w:t xml:space="preserve">RAN2 understands that for now there are no RAN4 requirements regarding measurements on </w:t>
            </w:r>
            <w:proofErr w:type="gramStart"/>
            <w:r w:rsidRPr="0012145F">
              <w:rPr>
                <w:rFonts w:ascii="Arial" w:hAnsi="Arial" w:cs="Arial"/>
                <w:b/>
                <w:bCs/>
              </w:rPr>
              <w:t>a</w:t>
            </w:r>
            <w:proofErr w:type="gramEnd"/>
            <w:r w:rsidRPr="0012145F">
              <w:rPr>
                <w:rFonts w:ascii="Arial" w:hAnsi="Arial" w:cs="Arial"/>
                <w:b/>
                <w:bCs/>
              </w:rPr>
              <w:t xml:space="preserve"> NTN cell while the UE is camping or being connected to a TN cell and then it’s up to UE implementation whether to perform such measurements or not. RAN2 will not further work on enhancements for TN to NTN mobility in Rel-18.</w:t>
            </w:r>
          </w:p>
        </w:tc>
      </w:tr>
    </w:tbl>
    <w:p w14:paraId="5B53C9DA" w14:textId="0236BCCC" w:rsidR="00D33569" w:rsidRDefault="008904AD" w:rsidP="00505CB9">
      <w:r>
        <w:br/>
        <w:t>As a</w:t>
      </w:r>
      <w:r w:rsidR="008C4D6F">
        <w:t xml:space="preserve"> brief reminder, RAN2 has defined the </w:t>
      </w:r>
      <w:r w:rsidR="00290EEB">
        <w:t xml:space="preserve">possibility to provide SIB19 in Terrestrial Network (TN), aimed at </w:t>
      </w:r>
      <w:r w:rsidR="00D5591A">
        <w:t>helping the UE to measure NTN neighbours for potential reselection.</w:t>
      </w:r>
    </w:p>
    <w:p w14:paraId="18A05F17" w14:textId="1127B531" w:rsidR="00D5591A" w:rsidRPr="00D5591A" w:rsidRDefault="00D5591A" w:rsidP="00505CB9">
      <w:pPr>
        <w:rPr>
          <w:b/>
          <w:bCs/>
        </w:rPr>
      </w:pPr>
      <w:r w:rsidRPr="00D5591A">
        <w:rPr>
          <w:b/>
          <w:bCs/>
        </w:rPr>
        <w:t xml:space="preserve">Observation </w:t>
      </w:r>
      <w:r w:rsidR="00F129DF">
        <w:rPr>
          <w:b/>
          <w:bCs/>
        </w:rPr>
        <w:t>10</w:t>
      </w:r>
      <w:r w:rsidRPr="00D5591A">
        <w:rPr>
          <w:b/>
          <w:bCs/>
        </w:rPr>
        <w:t>: Release 18 NTN introduced the possibility to provide SIB19 in Terrestrial Network (TN), aimed at helping the UE to measure NTN neighbours for potential reselection.</w:t>
      </w:r>
    </w:p>
    <w:p w14:paraId="51DEA225" w14:textId="4C7CFBA0" w:rsidR="00D5591A" w:rsidRDefault="00F65B88" w:rsidP="00505CB9">
      <w:r>
        <w:t xml:space="preserve">When looking at </w:t>
      </w:r>
      <w:r w:rsidR="00755B25">
        <w:t xml:space="preserve">the requirements described in </w:t>
      </w:r>
      <w:r w:rsidR="00755B25">
        <w:fldChar w:fldCharType="begin"/>
      </w:r>
      <w:r w:rsidR="00755B25">
        <w:instrText xml:space="preserve"> REF _Ref181627044 \r \h </w:instrText>
      </w:r>
      <w:r w:rsidR="00755B25">
        <w:fldChar w:fldCharType="separate"/>
      </w:r>
      <w:r w:rsidR="00755B25">
        <w:t>[8]</w:t>
      </w:r>
      <w:r w:rsidR="00755B25">
        <w:fldChar w:fldCharType="end"/>
      </w:r>
      <w:r w:rsidR="00755B25">
        <w:t xml:space="preserve"> </w:t>
      </w:r>
      <w:r w:rsidR="00470C53">
        <w:t xml:space="preserve">one can find section </w:t>
      </w:r>
      <w:r w:rsidR="00470C53" w:rsidRPr="00470C53">
        <w:t>4.2.2.12</w:t>
      </w:r>
      <w:r w:rsidR="00470C53">
        <w:t xml:space="preserve"> “</w:t>
      </w:r>
      <w:r w:rsidR="00470C53" w:rsidRPr="00F129DF">
        <w:rPr>
          <w:i/>
          <w:iCs/>
        </w:rPr>
        <w:t>Measurements of inter-frequency NR cells with NTN carrier</w:t>
      </w:r>
      <w:r w:rsidR="00470C53">
        <w:t>”</w:t>
      </w:r>
      <w:r w:rsidR="00755B25">
        <w:t>.</w:t>
      </w:r>
      <w:r w:rsidR="00F610FF">
        <w:t xml:space="preserve"> In the beginning of this section, the following is stated </w:t>
      </w:r>
      <w:r w:rsidR="00F610FF">
        <w:fldChar w:fldCharType="begin"/>
      </w:r>
      <w:r w:rsidR="00F610FF">
        <w:instrText xml:space="preserve"> REF _Ref181627044 \r \h </w:instrText>
      </w:r>
      <w:r w:rsidR="00F610FF">
        <w:fldChar w:fldCharType="separate"/>
      </w:r>
      <w:r w:rsidR="00F610FF">
        <w:t>[8]</w:t>
      </w:r>
      <w:r w:rsidR="00F610FF">
        <w:fldChar w:fldCharType="end"/>
      </w:r>
      <w:r w:rsidR="00F610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10FF" w14:paraId="5F2A7395" w14:textId="77777777" w:rsidTr="00F610FF">
        <w:tc>
          <w:tcPr>
            <w:tcW w:w="9629" w:type="dxa"/>
          </w:tcPr>
          <w:p w14:paraId="4105D7FD" w14:textId="1E30FB40" w:rsidR="00F129DF" w:rsidRDefault="00F129DF" w:rsidP="00505CB9">
            <w:r>
              <w:t>[…]</w:t>
            </w:r>
          </w:p>
          <w:p w14:paraId="6817F72A" w14:textId="77777777" w:rsidR="00F610FF" w:rsidRDefault="00F610FF" w:rsidP="00505CB9">
            <w:r w:rsidRPr="00F610FF">
              <w:t xml:space="preserve">This clause applies for the inter-frequency cell reselection for NTN carriers in FR1 NTN, and TN carriers if configured. The requirements in clause 4.2.2.12 apply provided that network provides </w:t>
            </w:r>
            <w:proofErr w:type="gramStart"/>
            <w:r w:rsidRPr="00F610FF">
              <w:t>SIB19</w:t>
            </w:r>
            <w:proofErr w:type="gramEnd"/>
            <w:r w:rsidRPr="00F610FF">
              <w:t xml:space="preserve"> and UE is configured with one or more NTN carrier</w:t>
            </w:r>
            <w:r>
              <w:t>.</w:t>
            </w:r>
          </w:p>
          <w:p w14:paraId="40CEF8C5" w14:textId="0540FD3F" w:rsidR="00F129DF" w:rsidRDefault="00F129DF" w:rsidP="00505CB9">
            <w:r>
              <w:t>[…]</w:t>
            </w:r>
          </w:p>
        </w:tc>
      </w:tr>
    </w:tbl>
    <w:p w14:paraId="74479D29" w14:textId="77777777" w:rsidR="00E90434" w:rsidRDefault="00F610FF" w:rsidP="00505CB9">
      <w:r>
        <w:br/>
      </w:r>
      <w:r w:rsidR="00E90434">
        <w:t>Then a set of requirements , e.g. how to rank the neighbour inter-frequency NTN cells based on their SS-RSRP or SS-RSRQ is to be performed. Thus, the conclusion made at RAN2#127bis, captured above, might not be valid.</w:t>
      </w:r>
    </w:p>
    <w:p w14:paraId="6CB3E8BF" w14:textId="6CF021A4" w:rsidR="00E90434" w:rsidRDefault="00E90434" w:rsidP="00505CB9">
      <w:pPr>
        <w:rPr>
          <w:b/>
          <w:bCs/>
        </w:rPr>
      </w:pPr>
      <w:r w:rsidRPr="008E07F8">
        <w:rPr>
          <w:b/>
          <w:bCs/>
        </w:rPr>
        <w:t>Observation 1</w:t>
      </w:r>
      <w:r w:rsidR="00BE075A">
        <w:rPr>
          <w:b/>
          <w:bCs/>
        </w:rPr>
        <w:t>1</w:t>
      </w:r>
      <w:r w:rsidRPr="008E07F8">
        <w:rPr>
          <w:b/>
          <w:bCs/>
        </w:rPr>
        <w:t>:</w:t>
      </w:r>
      <w:r w:rsidR="00240BB9" w:rsidRPr="008E07F8">
        <w:rPr>
          <w:b/>
          <w:bCs/>
        </w:rPr>
        <w:t xml:space="preserve"> Section 4.2.2.12 in TS 38.133 comprises the requirements for </w:t>
      </w:r>
      <w:r w:rsidR="002236E6" w:rsidRPr="008E07F8">
        <w:rPr>
          <w:b/>
          <w:bCs/>
        </w:rPr>
        <w:t xml:space="preserve">measurements for inter-frequency </w:t>
      </w:r>
      <w:r w:rsidR="00240BB9" w:rsidRPr="008E07F8">
        <w:rPr>
          <w:b/>
          <w:bCs/>
        </w:rPr>
        <w:t>reselection</w:t>
      </w:r>
      <w:r w:rsidR="008E07F8" w:rsidRPr="008E07F8">
        <w:rPr>
          <w:b/>
          <w:bCs/>
        </w:rPr>
        <w:t xml:space="preserve"> to NR NTN cells.</w:t>
      </w:r>
    </w:p>
    <w:p w14:paraId="7BDA96C7" w14:textId="20F3AB74" w:rsidR="00BE075A" w:rsidRPr="00BE075A" w:rsidRDefault="00BE075A" w:rsidP="00505CB9">
      <w:r w:rsidRPr="00BE075A">
        <w:t>Thus, we propose the following:</w:t>
      </w:r>
    </w:p>
    <w:p w14:paraId="75154B41" w14:textId="5CA1888F" w:rsidR="00F610FF" w:rsidRDefault="00712048" w:rsidP="00505CB9">
      <w:pPr>
        <w:rPr>
          <w:b/>
          <w:bCs/>
        </w:rPr>
      </w:pPr>
      <w:r w:rsidRPr="004D7AFB">
        <w:rPr>
          <w:b/>
          <w:bCs/>
        </w:rPr>
        <w:t xml:space="preserve">Proposal 5: </w:t>
      </w:r>
      <w:r w:rsidR="004D7AFB" w:rsidRPr="004D7AFB">
        <w:rPr>
          <w:b/>
          <w:bCs/>
        </w:rPr>
        <w:t>RAN2 reopens the discussion on whether the UE can measure an NTN cell while camping or being connected to a TN cell. RAN2 reflects RAN4 requirements in the appropriate specifications.</w:t>
      </w:r>
      <w:r w:rsidR="00E90434" w:rsidRPr="004D7AFB">
        <w:rPr>
          <w:b/>
          <w:bCs/>
        </w:rPr>
        <w:t xml:space="preserve"> </w:t>
      </w:r>
    </w:p>
    <w:p w14:paraId="64B5AC96" w14:textId="1CD84459" w:rsidR="00E9109E" w:rsidRPr="00441570" w:rsidRDefault="00E9109E" w:rsidP="00505CB9">
      <w:r w:rsidRPr="00441570">
        <w:t>If Proposal 5 is not acceptable, we should align with RAN4 (at least let them know we do not respect their requirement).</w:t>
      </w:r>
    </w:p>
    <w:p w14:paraId="6056D912" w14:textId="599D6D67" w:rsidR="00E9109E" w:rsidRPr="004D7AFB" w:rsidRDefault="00E9109E" w:rsidP="00505CB9">
      <w:pPr>
        <w:rPr>
          <w:b/>
          <w:bCs/>
        </w:rPr>
      </w:pPr>
      <w:r>
        <w:rPr>
          <w:b/>
          <w:bCs/>
        </w:rPr>
        <w:t xml:space="preserve">Proposal 6: Align </w:t>
      </w:r>
      <w:r w:rsidR="00441570">
        <w:rPr>
          <w:b/>
          <w:bCs/>
        </w:rPr>
        <w:t>with RAN4 regarding the requirements for SIB19 acquisition in TN cell.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793C0E26" w14:textId="77777777" w:rsidR="0054783B" w:rsidRDefault="009339CB" w:rsidP="00531EC4">
      <w:pPr>
        <w:jc w:val="both"/>
      </w:pPr>
      <w:r>
        <w:t>This document has made the following observations</w:t>
      </w:r>
      <w:r w:rsidR="0054783B">
        <w:t>:</w:t>
      </w:r>
    </w:p>
    <w:p w14:paraId="71537C02" w14:textId="77777777" w:rsidR="0003783A" w:rsidRPr="00FC27A2" w:rsidRDefault="0003783A" w:rsidP="0003783A">
      <w:pPr>
        <w:jc w:val="both"/>
        <w:rPr>
          <w:b/>
          <w:bCs/>
        </w:rPr>
      </w:pPr>
      <w:r w:rsidRPr="00FC27A2">
        <w:rPr>
          <w:b/>
          <w:bCs/>
        </w:rPr>
        <w:t xml:space="preserve">Observation 1: There are unclarities whether FR2-1 or FR2-2 procedures in various specifications should apply to the FR2-NTN.  </w:t>
      </w:r>
    </w:p>
    <w:p w14:paraId="45C809E5" w14:textId="77777777" w:rsidR="0003783A" w:rsidRPr="00B97035" w:rsidRDefault="0003783A" w:rsidP="0003783A">
      <w:pPr>
        <w:jc w:val="both"/>
        <w:rPr>
          <w:b/>
          <w:bCs/>
        </w:rPr>
      </w:pPr>
      <w:r w:rsidRPr="00B97035">
        <w:rPr>
          <w:b/>
          <w:bCs/>
        </w:rPr>
        <w:t xml:space="preserve">Observation </w:t>
      </w:r>
      <w:r>
        <w:rPr>
          <w:b/>
          <w:bCs/>
        </w:rPr>
        <w:t>2</w:t>
      </w:r>
      <w:r w:rsidRPr="00B97035">
        <w:rPr>
          <w:b/>
          <w:bCs/>
        </w:rPr>
        <w:t>: RAN1 has discovered certain RRC parameters might not have appropriate indication which FR</w:t>
      </w:r>
      <w:r>
        <w:rPr>
          <w:b/>
          <w:bCs/>
        </w:rPr>
        <w:t xml:space="preserve">2-x </w:t>
      </w:r>
      <w:r w:rsidRPr="00B97035">
        <w:rPr>
          <w:b/>
          <w:bCs/>
        </w:rPr>
        <w:t>they belong to</w:t>
      </w:r>
      <w:r>
        <w:rPr>
          <w:b/>
          <w:bCs/>
        </w:rPr>
        <w:t xml:space="preserve"> (i.e. FR2-1, FR2-2, FR-NTN)</w:t>
      </w:r>
      <w:r w:rsidRPr="00B97035">
        <w:rPr>
          <w:b/>
          <w:bCs/>
        </w:rPr>
        <w:t xml:space="preserve">. </w:t>
      </w:r>
    </w:p>
    <w:p w14:paraId="4A342C42" w14:textId="77777777" w:rsidR="0003783A" w:rsidRPr="000C1A09" w:rsidRDefault="0003783A" w:rsidP="0003783A">
      <w:pPr>
        <w:jc w:val="both"/>
        <w:rPr>
          <w:b/>
          <w:bCs/>
        </w:rPr>
      </w:pPr>
      <w:r w:rsidRPr="000C1A09">
        <w:rPr>
          <w:b/>
          <w:bCs/>
        </w:rPr>
        <w:t>Observation 3: FR2-NTN partly overlaps with FR2-1. Its lower frequency regio</w:t>
      </w:r>
      <w:r>
        <w:rPr>
          <w:b/>
          <w:bCs/>
        </w:rPr>
        <w:t>n</w:t>
      </w:r>
      <w:r w:rsidRPr="000C1A09">
        <w:rPr>
          <w:b/>
          <w:bCs/>
        </w:rPr>
        <w:t xml:space="preserve"> is not comprised within FR2-1.</w:t>
      </w:r>
    </w:p>
    <w:p w14:paraId="14DF45BC" w14:textId="77777777" w:rsidR="0003783A" w:rsidRPr="00D934B3" w:rsidRDefault="0003783A" w:rsidP="0003783A">
      <w:pPr>
        <w:rPr>
          <w:b/>
          <w:bCs/>
        </w:rPr>
      </w:pPr>
      <w:r w:rsidRPr="00D934B3">
        <w:rPr>
          <w:b/>
          <w:bCs/>
        </w:rPr>
        <w:t xml:space="preserve">Observation </w:t>
      </w:r>
      <w:r>
        <w:rPr>
          <w:b/>
          <w:bCs/>
        </w:rPr>
        <w:t>4</w:t>
      </w:r>
      <w:r w:rsidRPr="00D934B3">
        <w:rPr>
          <w:b/>
          <w:bCs/>
        </w:rPr>
        <w:t>: At RAN2#127bis it was attempted to clarify if RACH-less HO can be used also in inter-</w:t>
      </w:r>
      <w:proofErr w:type="spellStart"/>
      <w:r w:rsidRPr="00D934B3">
        <w:rPr>
          <w:b/>
          <w:bCs/>
        </w:rPr>
        <w:t>gNB</w:t>
      </w:r>
      <w:proofErr w:type="spellEnd"/>
      <w:r w:rsidRPr="00D934B3">
        <w:rPr>
          <w:b/>
          <w:bCs/>
        </w:rPr>
        <w:t xml:space="preserve"> scenario, at least for NTN.</w:t>
      </w:r>
    </w:p>
    <w:p w14:paraId="3C1709C1" w14:textId="77777777" w:rsidR="0003783A" w:rsidRPr="00686224" w:rsidRDefault="0003783A" w:rsidP="0003783A">
      <w:pPr>
        <w:rPr>
          <w:b/>
          <w:bCs/>
        </w:rPr>
      </w:pPr>
      <w:r w:rsidRPr="00686224">
        <w:rPr>
          <w:b/>
          <w:bCs/>
        </w:rPr>
        <w:t xml:space="preserve">Observation </w:t>
      </w:r>
      <w:r>
        <w:rPr>
          <w:b/>
          <w:bCs/>
        </w:rPr>
        <w:t>5</w:t>
      </w:r>
      <w:r w:rsidRPr="00686224">
        <w:rPr>
          <w:b/>
          <w:bCs/>
        </w:rPr>
        <w:t>: During Release 18 the decision has been made to limit the RACH-less HO applicability to intra-</w:t>
      </w:r>
      <w:proofErr w:type="spellStart"/>
      <w:r w:rsidRPr="00686224">
        <w:rPr>
          <w:b/>
          <w:bCs/>
        </w:rPr>
        <w:t>gNB</w:t>
      </w:r>
      <w:proofErr w:type="spellEnd"/>
      <w:r w:rsidRPr="00686224">
        <w:rPr>
          <w:b/>
          <w:bCs/>
        </w:rPr>
        <w:t xml:space="preserve"> scenario, as it was not clear how much work might be required in RAN WG3. </w:t>
      </w:r>
    </w:p>
    <w:p w14:paraId="7704266D" w14:textId="77777777" w:rsidR="0003783A" w:rsidRDefault="0003783A" w:rsidP="0003783A">
      <w:pPr>
        <w:rPr>
          <w:b/>
          <w:bCs/>
        </w:rPr>
      </w:pPr>
      <w:r w:rsidRPr="00C0321C">
        <w:rPr>
          <w:b/>
          <w:bCs/>
        </w:rPr>
        <w:t xml:space="preserve">Observation </w:t>
      </w:r>
      <w:r>
        <w:rPr>
          <w:b/>
          <w:bCs/>
        </w:rPr>
        <w:t>6</w:t>
      </w:r>
      <w:r w:rsidRPr="00C0321C">
        <w:rPr>
          <w:b/>
          <w:bCs/>
        </w:rPr>
        <w:t>: The description of RACH-less handover, captured in section 9.2.3.6 of TS 38.300, clearly limits the applicability to intra-</w:t>
      </w:r>
      <w:proofErr w:type="spellStart"/>
      <w:r w:rsidRPr="00C0321C">
        <w:rPr>
          <w:b/>
          <w:bCs/>
        </w:rPr>
        <w:t>gNB</w:t>
      </w:r>
      <w:proofErr w:type="spellEnd"/>
      <w:r w:rsidRPr="00C0321C">
        <w:rPr>
          <w:b/>
          <w:bCs/>
        </w:rPr>
        <w:t xml:space="preserve"> case.</w:t>
      </w:r>
    </w:p>
    <w:p w14:paraId="63CC53F8" w14:textId="77777777" w:rsidR="0003783A" w:rsidRPr="00505066" w:rsidRDefault="0003783A" w:rsidP="0003783A">
      <w:pPr>
        <w:rPr>
          <w:b/>
          <w:bCs/>
        </w:rPr>
      </w:pPr>
      <w:r w:rsidRPr="00505066">
        <w:rPr>
          <w:b/>
          <w:bCs/>
        </w:rPr>
        <w:t xml:space="preserve">Observation </w:t>
      </w:r>
      <w:r>
        <w:rPr>
          <w:b/>
          <w:bCs/>
        </w:rPr>
        <w:t>7</w:t>
      </w:r>
      <w:r w:rsidRPr="00505066">
        <w:rPr>
          <w:b/>
          <w:bCs/>
        </w:rPr>
        <w:t xml:space="preserve">: RACH-less HO is decided and configured by target cell and included in </w:t>
      </w:r>
      <w:proofErr w:type="spellStart"/>
      <w:r w:rsidRPr="00505066">
        <w:rPr>
          <w:b/>
          <w:bCs/>
          <w:i/>
          <w:iCs/>
        </w:rPr>
        <w:t>ReconfigurationWithSync</w:t>
      </w:r>
      <w:proofErr w:type="spellEnd"/>
      <w:r w:rsidRPr="00505066">
        <w:rPr>
          <w:b/>
          <w:bCs/>
        </w:rPr>
        <w:t xml:space="preserve">. </w:t>
      </w:r>
      <w:r>
        <w:rPr>
          <w:b/>
          <w:bCs/>
        </w:rPr>
        <w:t>Source cell theoretically does not need to comprehend this value and just forwards the RRC container to the UE.</w:t>
      </w:r>
    </w:p>
    <w:p w14:paraId="4F2585BE" w14:textId="77777777" w:rsidR="0003783A" w:rsidRPr="00114B1A" w:rsidRDefault="0003783A" w:rsidP="0003783A">
      <w:pPr>
        <w:rPr>
          <w:b/>
          <w:bCs/>
        </w:rPr>
      </w:pPr>
      <w:r w:rsidRPr="00114B1A">
        <w:rPr>
          <w:b/>
          <w:bCs/>
        </w:rPr>
        <w:t xml:space="preserve">Observation </w:t>
      </w:r>
      <w:r>
        <w:rPr>
          <w:b/>
          <w:bCs/>
        </w:rPr>
        <w:t>8</w:t>
      </w:r>
      <w:r w:rsidRPr="00114B1A">
        <w:rPr>
          <w:b/>
          <w:bCs/>
        </w:rPr>
        <w:t xml:space="preserve">: </w:t>
      </w:r>
      <w:r w:rsidRPr="00B127D9">
        <w:rPr>
          <w:b/>
          <w:bCs/>
          <w:i/>
          <w:iCs/>
        </w:rPr>
        <w:t>RACH-</w:t>
      </w:r>
      <w:proofErr w:type="spellStart"/>
      <w:r w:rsidRPr="00B127D9">
        <w:rPr>
          <w:b/>
          <w:bCs/>
          <w:i/>
          <w:iCs/>
        </w:rPr>
        <w:t>LessHO</w:t>
      </w:r>
      <w:proofErr w:type="spellEnd"/>
      <w:r>
        <w:rPr>
          <w:b/>
          <w:bCs/>
        </w:rPr>
        <w:t xml:space="preserve"> IE</w:t>
      </w:r>
      <w:r w:rsidRPr="00114B1A">
        <w:rPr>
          <w:b/>
          <w:bCs/>
        </w:rPr>
        <w:t xml:space="preserve"> comprises target NTA value and beam indication (either TCI state or SSB index).</w:t>
      </w:r>
    </w:p>
    <w:p w14:paraId="65D1FA5B" w14:textId="77777777" w:rsidR="0003783A" w:rsidRPr="00D9197E" w:rsidRDefault="0003783A" w:rsidP="0003783A">
      <w:pPr>
        <w:rPr>
          <w:b/>
          <w:bCs/>
        </w:rPr>
      </w:pPr>
      <w:r w:rsidRPr="00D9197E">
        <w:rPr>
          <w:b/>
          <w:bCs/>
        </w:rPr>
        <w:t xml:space="preserve">Observation </w:t>
      </w:r>
      <w:r>
        <w:rPr>
          <w:b/>
          <w:bCs/>
        </w:rPr>
        <w:t>9</w:t>
      </w:r>
      <w:r w:rsidRPr="00D9197E">
        <w:rPr>
          <w:b/>
          <w:bCs/>
        </w:rPr>
        <w:t xml:space="preserve">: Target cell obtains a list of SSB-based or CSI-RS-based measurement results when HO Preparation is done. </w:t>
      </w:r>
    </w:p>
    <w:p w14:paraId="71163C14" w14:textId="77777777" w:rsidR="0003783A" w:rsidRPr="00D5591A" w:rsidRDefault="0003783A" w:rsidP="0003783A">
      <w:pPr>
        <w:rPr>
          <w:b/>
          <w:bCs/>
        </w:rPr>
      </w:pPr>
      <w:r w:rsidRPr="00D5591A">
        <w:rPr>
          <w:b/>
          <w:bCs/>
        </w:rPr>
        <w:t xml:space="preserve">Observation </w:t>
      </w:r>
      <w:r>
        <w:rPr>
          <w:b/>
          <w:bCs/>
        </w:rPr>
        <w:t>10</w:t>
      </w:r>
      <w:r w:rsidRPr="00D5591A">
        <w:rPr>
          <w:b/>
          <w:bCs/>
        </w:rPr>
        <w:t>: Release 18 NTN introduced the possibility to provide SIB19 in Terrestrial Network (TN), aimed at helping the UE to measure NTN neighbours for potential reselection.</w:t>
      </w:r>
    </w:p>
    <w:p w14:paraId="2F7609D6" w14:textId="3833F07B" w:rsidR="0054783B" w:rsidRPr="007746C3" w:rsidRDefault="0003783A" w:rsidP="007746C3">
      <w:pPr>
        <w:rPr>
          <w:b/>
          <w:bCs/>
        </w:rPr>
      </w:pPr>
      <w:r w:rsidRPr="008E07F8">
        <w:rPr>
          <w:b/>
          <w:bCs/>
        </w:rPr>
        <w:t>Observation 1</w:t>
      </w:r>
      <w:r>
        <w:rPr>
          <w:b/>
          <w:bCs/>
        </w:rPr>
        <w:t>1</w:t>
      </w:r>
      <w:r w:rsidRPr="008E07F8">
        <w:rPr>
          <w:b/>
          <w:bCs/>
        </w:rPr>
        <w:t>: Section 4.2.2.12 in TS 38.133 comprises the requirements for measurements for inter-frequency reselection to NR NTN cells.</w:t>
      </w:r>
    </w:p>
    <w:p w14:paraId="330EBE54" w14:textId="29D84589" w:rsidR="0054783B" w:rsidRDefault="0054783B" w:rsidP="00531EC4">
      <w:pPr>
        <w:jc w:val="both"/>
      </w:pPr>
      <w:r>
        <w:t>It has proposed the following:</w:t>
      </w:r>
    </w:p>
    <w:p w14:paraId="0A2DD766" w14:textId="77777777" w:rsidR="0003783A" w:rsidRDefault="0003783A" w:rsidP="0003783A">
      <w:pPr>
        <w:jc w:val="both"/>
        <w:rPr>
          <w:b/>
          <w:bCs/>
        </w:rPr>
      </w:pPr>
      <w:r w:rsidRPr="00770A70">
        <w:rPr>
          <w:b/>
          <w:bCs/>
        </w:rPr>
        <w:t xml:space="preserve">Proposal 1: RAN2 assumes the requirements and parameters for FR2-1 are </w:t>
      </w:r>
      <w:r>
        <w:rPr>
          <w:b/>
          <w:bCs/>
        </w:rPr>
        <w:t xml:space="preserve">generally </w:t>
      </w:r>
      <w:r w:rsidRPr="00770A70">
        <w:rPr>
          <w:b/>
          <w:bCs/>
        </w:rPr>
        <w:t>applicable to FR2-NTN</w:t>
      </w:r>
      <w:r>
        <w:rPr>
          <w:b/>
          <w:bCs/>
        </w:rPr>
        <w:t>, unless specified otherwise</w:t>
      </w:r>
      <w:r w:rsidRPr="00770A70">
        <w:rPr>
          <w:b/>
          <w:bCs/>
        </w:rPr>
        <w:t>.</w:t>
      </w:r>
    </w:p>
    <w:p w14:paraId="6844C08E" w14:textId="77777777" w:rsidR="0003783A" w:rsidRDefault="0003783A" w:rsidP="0003783A">
      <w:pPr>
        <w:jc w:val="both"/>
        <w:rPr>
          <w:b/>
          <w:bCs/>
        </w:rPr>
      </w:pPr>
      <w:r w:rsidRPr="00D36185">
        <w:rPr>
          <w:b/>
          <w:bCs/>
        </w:rPr>
        <w:t>Proposal 2: Consider a general statement</w:t>
      </w:r>
      <w:r>
        <w:rPr>
          <w:b/>
          <w:bCs/>
        </w:rPr>
        <w:t xml:space="preserve"> in RAN2 Technical Specifications</w:t>
      </w:r>
      <w:r w:rsidRPr="00D36185">
        <w:rPr>
          <w:b/>
          <w:bCs/>
        </w:rPr>
        <w:t xml:space="preserve"> or a pointer to</w:t>
      </w:r>
      <w:r>
        <w:rPr>
          <w:b/>
          <w:bCs/>
        </w:rPr>
        <w:t xml:space="preserve"> TS </w:t>
      </w:r>
      <w:r w:rsidRPr="00D36185">
        <w:rPr>
          <w:b/>
          <w:bCs/>
        </w:rPr>
        <w:t xml:space="preserve">38.101 to reflect which requirements apply to FR2-NTN. </w:t>
      </w:r>
    </w:p>
    <w:p w14:paraId="04C6CE3C" w14:textId="77777777" w:rsidR="0003783A" w:rsidRPr="00EC1C75" w:rsidRDefault="0003783A" w:rsidP="0003783A">
      <w:pPr>
        <w:jc w:val="both"/>
        <w:rPr>
          <w:b/>
          <w:bCs/>
        </w:rPr>
      </w:pPr>
      <w:r w:rsidRPr="00EC1C75">
        <w:rPr>
          <w:b/>
          <w:bCs/>
        </w:rPr>
        <w:t>Proposal 3: If Proposal 2 is not agreeable, RAN2 agrees a single CR fixing the FR2-NTN requirements for all affected fields/IEs.</w:t>
      </w:r>
    </w:p>
    <w:p w14:paraId="5015CC43" w14:textId="77777777" w:rsidR="0003783A" w:rsidRPr="00991762" w:rsidRDefault="0003783A" w:rsidP="0003783A">
      <w:pPr>
        <w:rPr>
          <w:b/>
          <w:bCs/>
        </w:rPr>
      </w:pPr>
      <w:r w:rsidRPr="00991762">
        <w:rPr>
          <w:b/>
          <w:bCs/>
        </w:rPr>
        <w:t>Proposal 4: Support RACH-less HO also in inter-</w:t>
      </w:r>
      <w:proofErr w:type="spellStart"/>
      <w:r w:rsidRPr="00991762">
        <w:rPr>
          <w:b/>
          <w:bCs/>
        </w:rPr>
        <w:t>gNB</w:t>
      </w:r>
      <w:proofErr w:type="spellEnd"/>
      <w:r w:rsidRPr="00991762">
        <w:rPr>
          <w:b/>
          <w:bCs/>
        </w:rPr>
        <w:t xml:space="preserve"> scenarios</w:t>
      </w:r>
      <w:r>
        <w:rPr>
          <w:b/>
          <w:bCs/>
        </w:rPr>
        <w:t xml:space="preserve"> for NTN</w:t>
      </w:r>
      <w:r w:rsidRPr="00991762">
        <w:rPr>
          <w:b/>
          <w:bCs/>
        </w:rPr>
        <w:t>.</w:t>
      </w:r>
    </w:p>
    <w:p w14:paraId="2EA012B0" w14:textId="77777777" w:rsidR="0003783A" w:rsidRDefault="0003783A" w:rsidP="0003783A">
      <w:pPr>
        <w:rPr>
          <w:b/>
          <w:bCs/>
        </w:rPr>
      </w:pPr>
      <w:r w:rsidRPr="004D7AFB">
        <w:rPr>
          <w:b/>
          <w:bCs/>
        </w:rPr>
        <w:t xml:space="preserve">Proposal 5: RAN2 reopens the discussion on whether the UE can measure an NTN cell while camping or being connected to a TN cell. RAN2 reflects RAN4 requirements in the appropriate specifications. </w:t>
      </w:r>
    </w:p>
    <w:p w14:paraId="6D2D7589" w14:textId="69DDA197" w:rsidR="00D04F5D" w:rsidRPr="007746C3" w:rsidRDefault="007746C3" w:rsidP="007746C3">
      <w:pPr>
        <w:rPr>
          <w:b/>
          <w:bCs/>
        </w:rPr>
      </w:pPr>
      <w:r>
        <w:rPr>
          <w:b/>
          <w:bCs/>
        </w:rPr>
        <w:t>Proposal 6: Align with RAN4 regarding the requirements for SIB19 acquisition in TN cell.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179E0C63" w14:textId="0EC4E251" w:rsidR="002303AE" w:rsidRDefault="002303AE" w:rsidP="002303AE">
      <w:pPr>
        <w:pStyle w:val="ListParagraph"/>
        <w:numPr>
          <w:ilvl w:val="0"/>
          <w:numId w:val="21"/>
        </w:numPr>
        <w:jc w:val="both"/>
      </w:pPr>
      <w:bookmarkStart w:id="0" w:name="_Ref173247608"/>
      <w:bookmarkStart w:id="1" w:name="_Ref172537527"/>
      <w:r>
        <w:t>RP-232669</w:t>
      </w:r>
      <w:r>
        <w:tab/>
      </w:r>
      <w:r w:rsidRPr="002303AE">
        <w:rPr>
          <w:i/>
          <w:iCs/>
        </w:rPr>
        <w:t>Revised WID: NR NTN (Non-Terrestrial Networks) enhancements</w:t>
      </w:r>
      <w:r>
        <w:t xml:space="preserve"> 3GPP TSG RAN Meeting #100 Taipei, Taiwan, June 12-14, 2023</w:t>
      </w:r>
      <w:bookmarkEnd w:id="0"/>
      <w:r>
        <w:tab/>
      </w:r>
    </w:p>
    <w:p w14:paraId="0C00C0CE" w14:textId="78E87AA6" w:rsidR="002E0BF0" w:rsidRDefault="002E0BF0" w:rsidP="002E0BF0">
      <w:pPr>
        <w:pStyle w:val="ListParagraph"/>
        <w:numPr>
          <w:ilvl w:val="0"/>
          <w:numId w:val="21"/>
        </w:numPr>
        <w:jc w:val="both"/>
      </w:pPr>
      <w:bookmarkStart w:id="2" w:name="_Ref178266839"/>
      <w:bookmarkEnd w:id="1"/>
      <w:r w:rsidRPr="002E0BF0">
        <w:t>R1-2407406</w:t>
      </w:r>
      <w:r>
        <w:t xml:space="preserve"> </w:t>
      </w:r>
      <w:r w:rsidRPr="002E0BF0">
        <w:rPr>
          <w:i/>
          <w:iCs/>
        </w:rPr>
        <w:t>LS on FR2-NTN inclusion to specifications</w:t>
      </w:r>
      <w:r>
        <w:t xml:space="preserve"> 3GPP TSG RAN WG1#118                                               Maastricht, NL, August 19th – 23rd, 2024</w:t>
      </w:r>
      <w:bookmarkEnd w:id="2"/>
    </w:p>
    <w:p w14:paraId="28B7F7C7" w14:textId="77777777" w:rsidR="00BE5297" w:rsidRDefault="00BE5297" w:rsidP="00BE5297">
      <w:pPr>
        <w:pStyle w:val="ListParagraph"/>
        <w:numPr>
          <w:ilvl w:val="0"/>
          <w:numId w:val="21"/>
        </w:numPr>
        <w:jc w:val="both"/>
      </w:pPr>
      <w:bookmarkStart w:id="3" w:name="_Ref173247654"/>
      <w:bookmarkStart w:id="4" w:name="_Ref178782123"/>
      <w:r>
        <w:t xml:space="preserve">R2-2407573 </w:t>
      </w:r>
      <w:r w:rsidRPr="00707410">
        <w:rPr>
          <w:i/>
          <w:iCs/>
        </w:rPr>
        <w:t>Report from Break-out session on NR-NTN and IoT-NTN</w:t>
      </w:r>
      <w:r>
        <w:t xml:space="preserve"> 3GPP TSG-RAN WG2 Meeting #127 </w:t>
      </w:r>
      <w:bookmarkEnd w:id="3"/>
      <w:r w:rsidRPr="002E0BF0">
        <w:t>Maastricht, Netherlands, Aug 19th – 23rd, 2024</w:t>
      </w:r>
      <w:bookmarkEnd w:id="4"/>
    </w:p>
    <w:p w14:paraId="3014846B" w14:textId="6F492FB5" w:rsidR="00FC27A2" w:rsidRDefault="00FC27A2" w:rsidP="00BE5297">
      <w:pPr>
        <w:pStyle w:val="ListParagraph"/>
        <w:numPr>
          <w:ilvl w:val="0"/>
          <w:numId w:val="21"/>
        </w:numPr>
        <w:jc w:val="both"/>
      </w:pPr>
      <w:bookmarkStart w:id="5" w:name="_Ref178780156"/>
      <w:r>
        <w:t>3GPP TS 38.101</w:t>
      </w:r>
      <w:bookmarkEnd w:id="5"/>
      <w:r w:rsidR="00C2628E">
        <w:t xml:space="preserve"> </w:t>
      </w:r>
      <w:r w:rsidR="00C2628E" w:rsidRPr="00C2628E">
        <w:t>NR; User Equipment (UE) radio transmission and reception</w:t>
      </w:r>
    </w:p>
    <w:p w14:paraId="6338B0AE" w14:textId="1DEA809F" w:rsidR="00CE67AD" w:rsidRDefault="00CE67AD" w:rsidP="00CE67AD">
      <w:pPr>
        <w:pStyle w:val="ListParagraph"/>
        <w:numPr>
          <w:ilvl w:val="0"/>
          <w:numId w:val="21"/>
        </w:numPr>
        <w:jc w:val="both"/>
      </w:pPr>
      <w:bookmarkStart w:id="6" w:name="_Ref181269931"/>
      <w:r>
        <w:t>R2-240</w:t>
      </w:r>
      <w:r w:rsidR="00A3710D">
        <w:t>9213</w:t>
      </w:r>
      <w:r>
        <w:t xml:space="preserve"> </w:t>
      </w:r>
      <w:r w:rsidRPr="00707410">
        <w:rPr>
          <w:i/>
          <w:iCs/>
        </w:rPr>
        <w:t>Report from Break-out session on NR-NTN and IoT-NTN</w:t>
      </w:r>
      <w:r>
        <w:t xml:space="preserve"> 3GPP TSG-RAN WG2 Meeting #127</w:t>
      </w:r>
      <w:r w:rsidR="00A3710D">
        <w:t>bis</w:t>
      </w:r>
      <w:r>
        <w:t xml:space="preserve"> </w:t>
      </w:r>
      <w:r w:rsidR="00A3710D">
        <w:t>Hefei</w:t>
      </w:r>
      <w:r w:rsidRPr="002E0BF0">
        <w:t xml:space="preserve">, </w:t>
      </w:r>
      <w:r w:rsidR="00A3710D">
        <w:t>China</w:t>
      </w:r>
      <w:r w:rsidRPr="002E0BF0">
        <w:t xml:space="preserve">, </w:t>
      </w:r>
      <w:r w:rsidR="00A3710D">
        <w:t>October 14</w:t>
      </w:r>
      <w:r w:rsidR="00A3710D" w:rsidRPr="00A3710D">
        <w:rPr>
          <w:vertAlign w:val="superscript"/>
        </w:rPr>
        <w:t>th</w:t>
      </w:r>
      <w:r w:rsidR="00A3710D">
        <w:t xml:space="preserve"> – 18</w:t>
      </w:r>
      <w:r w:rsidR="00A3710D" w:rsidRPr="00A3710D">
        <w:rPr>
          <w:vertAlign w:val="superscript"/>
        </w:rPr>
        <w:t>th</w:t>
      </w:r>
      <w:r w:rsidRPr="002E0BF0">
        <w:t>, 2024</w:t>
      </w:r>
      <w:bookmarkEnd w:id="6"/>
    </w:p>
    <w:p w14:paraId="6EEE4092" w14:textId="1A5DA300" w:rsidR="00CE67AD" w:rsidRDefault="002458B7" w:rsidP="00BE5297">
      <w:pPr>
        <w:pStyle w:val="ListParagraph"/>
        <w:numPr>
          <w:ilvl w:val="0"/>
          <w:numId w:val="21"/>
        </w:numPr>
        <w:jc w:val="both"/>
      </w:pPr>
      <w:bookmarkStart w:id="7" w:name="_Ref181270155"/>
      <w:r w:rsidRPr="002458B7">
        <w:t>R2-2408654</w:t>
      </w:r>
      <w:r>
        <w:t xml:space="preserve"> </w:t>
      </w:r>
      <w:r w:rsidRPr="002458B7">
        <w:t>Miscellaneous corrections on NTN in FR2 bands</w:t>
      </w:r>
      <w:r>
        <w:t xml:space="preserve"> 3GPP TSG-RAN WG2 Meeting #127bis Hefei</w:t>
      </w:r>
      <w:r w:rsidRPr="002E0BF0">
        <w:t xml:space="preserve">, </w:t>
      </w:r>
      <w:r>
        <w:t>China</w:t>
      </w:r>
      <w:r w:rsidRPr="002E0BF0">
        <w:t xml:space="preserve">, </w:t>
      </w:r>
      <w:r>
        <w:t>October 14</w:t>
      </w:r>
      <w:r w:rsidRPr="00A3710D">
        <w:rPr>
          <w:vertAlign w:val="superscript"/>
        </w:rPr>
        <w:t>th</w:t>
      </w:r>
      <w:r>
        <w:t xml:space="preserve"> – 18</w:t>
      </w:r>
      <w:r w:rsidRPr="00A3710D">
        <w:rPr>
          <w:vertAlign w:val="superscript"/>
        </w:rPr>
        <w:t>th</w:t>
      </w:r>
      <w:r w:rsidRPr="002E0BF0">
        <w:t>, 2024</w:t>
      </w:r>
      <w:bookmarkEnd w:id="7"/>
    </w:p>
    <w:p w14:paraId="63C782D9" w14:textId="7317AB92" w:rsidR="00483597" w:rsidRDefault="00483597" w:rsidP="00BE5297">
      <w:pPr>
        <w:pStyle w:val="ListParagraph"/>
        <w:numPr>
          <w:ilvl w:val="0"/>
          <w:numId w:val="21"/>
        </w:numPr>
        <w:jc w:val="both"/>
      </w:pPr>
      <w:bookmarkStart w:id="8" w:name="_Ref181305003"/>
      <w:r>
        <w:t>3GPP TS 38.331</w:t>
      </w:r>
      <w:bookmarkEnd w:id="8"/>
      <w:r w:rsidR="00EC3D60" w:rsidRPr="00EC3D60">
        <w:t xml:space="preserve"> NR; Radio Resource Control (RRC); Protocol specification</w:t>
      </w:r>
    </w:p>
    <w:p w14:paraId="348C5BF3" w14:textId="6C4BF9B1" w:rsidR="00755B25" w:rsidRDefault="00755B25" w:rsidP="00BE5297">
      <w:pPr>
        <w:pStyle w:val="ListParagraph"/>
        <w:numPr>
          <w:ilvl w:val="0"/>
          <w:numId w:val="21"/>
        </w:numPr>
        <w:jc w:val="both"/>
      </w:pPr>
      <w:bookmarkStart w:id="9" w:name="_Ref181627044"/>
      <w:r>
        <w:t>3GPP TS 38.133</w:t>
      </w:r>
      <w:bookmarkEnd w:id="9"/>
      <w:r w:rsidR="00951580">
        <w:t xml:space="preserve"> </w:t>
      </w:r>
      <w:r w:rsidR="00951580" w:rsidRPr="00951580">
        <w:t>NR; Requirements for support of radio resource management</w:t>
      </w:r>
    </w:p>
    <w:p w14:paraId="12632701" w14:textId="77777777" w:rsidR="00505CB9" w:rsidRDefault="00505CB9" w:rsidP="00505CB9">
      <w:pPr>
        <w:jc w:val="both"/>
      </w:pPr>
    </w:p>
    <w:p w14:paraId="626DC8A9" w14:textId="77777777" w:rsidR="00BE5297" w:rsidRDefault="00BE5297" w:rsidP="00BE5297">
      <w:pPr>
        <w:pStyle w:val="ListParagraph"/>
        <w:jc w:val="both"/>
      </w:pPr>
    </w:p>
    <w:sectPr w:rsidR="00BE5297" w:rsidSect="002F514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908A3" w14:textId="77777777" w:rsidR="006E6AEE" w:rsidRDefault="006E6AEE">
      <w:r>
        <w:separator/>
      </w:r>
    </w:p>
  </w:endnote>
  <w:endnote w:type="continuationSeparator" w:id="0">
    <w:p w14:paraId="555F9D41" w14:textId="77777777" w:rsidR="006E6AEE" w:rsidRDefault="006E6AEE">
      <w:r>
        <w:continuationSeparator/>
      </w:r>
    </w:p>
  </w:endnote>
  <w:endnote w:type="continuationNotice" w:id="1">
    <w:p w14:paraId="12EE4351" w14:textId="77777777" w:rsidR="006E6AEE" w:rsidRDefault="006E6A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2541B" w14:textId="77777777" w:rsidR="006E6AEE" w:rsidRDefault="006E6AEE">
      <w:r>
        <w:separator/>
      </w:r>
    </w:p>
  </w:footnote>
  <w:footnote w:type="continuationSeparator" w:id="0">
    <w:p w14:paraId="3B618B6A" w14:textId="77777777" w:rsidR="006E6AEE" w:rsidRDefault="006E6AEE">
      <w:r>
        <w:continuationSeparator/>
      </w:r>
    </w:p>
  </w:footnote>
  <w:footnote w:type="continuationNotice" w:id="1">
    <w:p w14:paraId="0DCA97FC" w14:textId="77777777" w:rsidR="006E6AEE" w:rsidRDefault="006E6A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250EFC"/>
    <w:multiLevelType w:val="hybridMultilevel"/>
    <w:tmpl w:val="1456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640E00"/>
    <w:multiLevelType w:val="hybridMultilevel"/>
    <w:tmpl w:val="B694F730"/>
    <w:lvl w:ilvl="0" w:tplc="A190B79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83890"/>
    <w:multiLevelType w:val="hybridMultilevel"/>
    <w:tmpl w:val="AC302952"/>
    <w:lvl w:ilvl="0" w:tplc="37FAE5F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480C0E"/>
    <w:multiLevelType w:val="hybridMultilevel"/>
    <w:tmpl w:val="B8C4D49A"/>
    <w:lvl w:ilvl="0" w:tplc="20DE44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42E3F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F2A0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4447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BF6C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7480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62E3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650CC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741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1"/>
  </w:num>
  <w:num w:numId="7" w16cid:durableId="1489399165">
    <w:abstractNumId w:val="2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6"/>
  </w:num>
  <w:num w:numId="20" w16cid:durableId="1969775248">
    <w:abstractNumId w:val="31"/>
  </w:num>
  <w:num w:numId="21" w16cid:durableId="1100298529">
    <w:abstractNumId w:val="30"/>
  </w:num>
  <w:num w:numId="22" w16cid:durableId="193007096">
    <w:abstractNumId w:val="14"/>
  </w:num>
  <w:num w:numId="23" w16cid:durableId="472908134">
    <w:abstractNumId w:val="25"/>
  </w:num>
  <w:num w:numId="24" w16cid:durableId="283198859">
    <w:abstractNumId w:val="27"/>
  </w:num>
  <w:num w:numId="25" w16cid:durableId="1450316911">
    <w:abstractNumId w:val="13"/>
  </w:num>
  <w:num w:numId="26" w16cid:durableId="1593737175">
    <w:abstractNumId w:val="19"/>
  </w:num>
  <w:num w:numId="27" w16cid:durableId="1587958594">
    <w:abstractNumId w:val="15"/>
  </w:num>
  <w:num w:numId="28" w16cid:durableId="335033584">
    <w:abstractNumId w:val="32"/>
  </w:num>
  <w:num w:numId="29" w16cid:durableId="619261675">
    <w:abstractNumId w:val="20"/>
  </w:num>
  <w:num w:numId="30" w16cid:durableId="1370759099">
    <w:abstractNumId w:val="29"/>
  </w:num>
  <w:num w:numId="31" w16cid:durableId="1671908847">
    <w:abstractNumId w:val="28"/>
  </w:num>
  <w:num w:numId="32" w16cid:durableId="230389207">
    <w:abstractNumId w:val="24"/>
  </w:num>
  <w:num w:numId="33" w16cid:durableId="1699503662">
    <w:abstractNumId w:val="26"/>
  </w:num>
  <w:num w:numId="34" w16cid:durableId="1900553114">
    <w:abstractNumId w:val="12"/>
  </w:num>
  <w:num w:numId="35" w16cid:durableId="18429642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DA"/>
    <w:rsid w:val="00004C47"/>
    <w:rsid w:val="00006C10"/>
    <w:rsid w:val="00007FBC"/>
    <w:rsid w:val="000121FC"/>
    <w:rsid w:val="00012AEE"/>
    <w:rsid w:val="0001584D"/>
    <w:rsid w:val="000158A7"/>
    <w:rsid w:val="00016557"/>
    <w:rsid w:val="00016FB2"/>
    <w:rsid w:val="00020034"/>
    <w:rsid w:val="00023215"/>
    <w:rsid w:val="00023C40"/>
    <w:rsid w:val="0002507D"/>
    <w:rsid w:val="00032E51"/>
    <w:rsid w:val="00033397"/>
    <w:rsid w:val="00034765"/>
    <w:rsid w:val="0003783A"/>
    <w:rsid w:val="00040095"/>
    <w:rsid w:val="00041CC2"/>
    <w:rsid w:val="00043311"/>
    <w:rsid w:val="000448D0"/>
    <w:rsid w:val="0004517E"/>
    <w:rsid w:val="00054A85"/>
    <w:rsid w:val="00065268"/>
    <w:rsid w:val="00073C9C"/>
    <w:rsid w:val="00074C39"/>
    <w:rsid w:val="00076412"/>
    <w:rsid w:val="00080512"/>
    <w:rsid w:val="00082F48"/>
    <w:rsid w:val="00083242"/>
    <w:rsid w:val="00083BE6"/>
    <w:rsid w:val="00083F05"/>
    <w:rsid w:val="00087BF1"/>
    <w:rsid w:val="00090253"/>
    <w:rsid w:val="00090468"/>
    <w:rsid w:val="00090E70"/>
    <w:rsid w:val="00094568"/>
    <w:rsid w:val="0009473A"/>
    <w:rsid w:val="0009477C"/>
    <w:rsid w:val="00096819"/>
    <w:rsid w:val="000A07E0"/>
    <w:rsid w:val="000A1EDA"/>
    <w:rsid w:val="000A5AA5"/>
    <w:rsid w:val="000B0AEE"/>
    <w:rsid w:val="000B2396"/>
    <w:rsid w:val="000B4BE7"/>
    <w:rsid w:val="000B7BCF"/>
    <w:rsid w:val="000C1A09"/>
    <w:rsid w:val="000C522B"/>
    <w:rsid w:val="000D1EEE"/>
    <w:rsid w:val="000D3937"/>
    <w:rsid w:val="000D58AB"/>
    <w:rsid w:val="000E256D"/>
    <w:rsid w:val="000E38CA"/>
    <w:rsid w:val="000E6694"/>
    <w:rsid w:val="000E7FD4"/>
    <w:rsid w:val="000F4364"/>
    <w:rsid w:val="000F56A6"/>
    <w:rsid w:val="000F7677"/>
    <w:rsid w:val="00102965"/>
    <w:rsid w:val="001029FF"/>
    <w:rsid w:val="0010525D"/>
    <w:rsid w:val="0010679B"/>
    <w:rsid w:val="00106C5C"/>
    <w:rsid w:val="001072F9"/>
    <w:rsid w:val="00111E18"/>
    <w:rsid w:val="00112210"/>
    <w:rsid w:val="00112F1A"/>
    <w:rsid w:val="00114B1A"/>
    <w:rsid w:val="00115F60"/>
    <w:rsid w:val="0012145F"/>
    <w:rsid w:val="00123207"/>
    <w:rsid w:val="0012610D"/>
    <w:rsid w:val="0012657C"/>
    <w:rsid w:val="001318EB"/>
    <w:rsid w:val="00141EFC"/>
    <w:rsid w:val="00145075"/>
    <w:rsid w:val="001464DE"/>
    <w:rsid w:val="00146521"/>
    <w:rsid w:val="00147477"/>
    <w:rsid w:val="0015333B"/>
    <w:rsid w:val="00153DC0"/>
    <w:rsid w:val="00155D65"/>
    <w:rsid w:val="00163147"/>
    <w:rsid w:val="0016317C"/>
    <w:rsid w:val="00164402"/>
    <w:rsid w:val="0016554A"/>
    <w:rsid w:val="001704FE"/>
    <w:rsid w:val="0017183E"/>
    <w:rsid w:val="001741A0"/>
    <w:rsid w:val="00175CB2"/>
    <w:rsid w:val="00175FA0"/>
    <w:rsid w:val="00176273"/>
    <w:rsid w:val="00180336"/>
    <w:rsid w:val="00181575"/>
    <w:rsid w:val="00181BAB"/>
    <w:rsid w:val="0018445A"/>
    <w:rsid w:val="0018542A"/>
    <w:rsid w:val="00186472"/>
    <w:rsid w:val="00192301"/>
    <w:rsid w:val="00193A16"/>
    <w:rsid w:val="00193C46"/>
    <w:rsid w:val="00193FAE"/>
    <w:rsid w:val="00194709"/>
    <w:rsid w:val="00194CD0"/>
    <w:rsid w:val="00194D5C"/>
    <w:rsid w:val="001B1D35"/>
    <w:rsid w:val="001B3843"/>
    <w:rsid w:val="001B42E3"/>
    <w:rsid w:val="001B49C9"/>
    <w:rsid w:val="001C23F4"/>
    <w:rsid w:val="001C3AB3"/>
    <w:rsid w:val="001C4F79"/>
    <w:rsid w:val="001C5234"/>
    <w:rsid w:val="001D2334"/>
    <w:rsid w:val="001D750A"/>
    <w:rsid w:val="001E0388"/>
    <w:rsid w:val="001E354F"/>
    <w:rsid w:val="001E65B6"/>
    <w:rsid w:val="001F168B"/>
    <w:rsid w:val="001F3B4B"/>
    <w:rsid w:val="001F7831"/>
    <w:rsid w:val="00201932"/>
    <w:rsid w:val="00204045"/>
    <w:rsid w:val="0020712B"/>
    <w:rsid w:val="00207992"/>
    <w:rsid w:val="00215D42"/>
    <w:rsid w:val="002236E6"/>
    <w:rsid w:val="00224905"/>
    <w:rsid w:val="0022606D"/>
    <w:rsid w:val="00227621"/>
    <w:rsid w:val="002303AE"/>
    <w:rsid w:val="00231728"/>
    <w:rsid w:val="002343A1"/>
    <w:rsid w:val="00236BE9"/>
    <w:rsid w:val="002378F8"/>
    <w:rsid w:val="00240BB9"/>
    <w:rsid w:val="002417D0"/>
    <w:rsid w:val="00244A05"/>
    <w:rsid w:val="002458B7"/>
    <w:rsid w:val="00245F5C"/>
    <w:rsid w:val="00250404"/>
    <w:rsid w:val="00256B74"/>
    <w:rsid w:val="00257400"/>
    <w:rsid w:val="002610D8"/>
    <w:rsid w:val="002706F8"/>
    <w:rsid w:val="00271F08"/>
    <w:rsid w:val="00272F51"/>
    <w:rsid w:val="00273AFE"/>
    <w:rsid w:val="002747EC"/>
    <w:rsid w:val="00275AFF"/>
    <w:rsid w:val="00280BAF"/>
    <w:rsid w:val="002855BF"/>
    <w:rsid w:val="00287C85"/>
    <w:rsid w:val="002905B7"/>
    <w:rsid w:val="00290A7C"/>
    <w:rsid w:val="00290EA3"/>
    <w:rsid w:val="00290EEB"/>
    <w:rsid w:val="002912E0"/>
    <w:rsid w:val="0029474E"/>
    <w:rsid w:val="00296C65"/>
    <w:rsid w:val="00296DAF"/>
    <w:rsid w:val="002A3738"/>
    <w:rsid w:val="002A50CF"/>
    <w:rsid w:val="002A77A2"/>
    <w:rsid w:val="002A7D2C"/>
    <w:rsid w:val="002B1840"/>
    <w:rsid w:val="002B2988"/>
    <w:rsid w:val="002B7EB9"/>
    <w:rsid w:val="002C64B3"/>
    <w:rsid w:val="002D0E55"/>
    <w:rsid w:val="002D24B7"/>
    <w:rsid w:val="002D5586"/>
    <w:rsid w:val="002D7956"/>
    <w:rsid w:val="002E0BF0"/>
    <w:rsid w:val="002E146F"/>
    <w:rsid w:val="002F0D22"/>
    <w:rsid w:val="002F514D"/>
    <w:rsid w:val="0030481E"/>
    <w:rsid w:val="00311B17"/>
    <w:rsid w:val="003146F4"/>
    <w:rsid w:val="0031643D"/>
    <w:rsid w:val="00316F14"/>
    <w:rsid w:val="003172DC"/>
    <w:rsid w:val="00317AF6"/>
    <w:rsid w:val="00321348"/>
    <w:rsid w:val="00325AE3"/>
    <w:rsid w:val="00326069"/>
    <w:rsid w:val="00331529"/>
    <w:rsid w:val="00334541"/>
    <w:rsid w:val="0034282E"/>
    <w:rsid w:val="00344403"/>
    <w:rsid w:val="00347D03"/>
    <w:rsid w:val="0035462D"/>
    <w:rsid w:val="00356F1B"/>
    <w:rsid w:val="00361FA9"/>
    <w:rsid w:val="0036344A"/>
    <w:rsid w:val="0036459E"/>
    <w:rsid w:val="00364B41"/>
    <w:rsid w:val="00367ACC"/>
    <w:rsid w:val="003700D0"/>
    <w:rsid w:val="003739DD"/>
    <w:rsid w:val="00377FD5"/>
    <w:rsid w:val="00381E2C"/>
    <w:rsid w:val="00383096"/>
    <w:rsid w:val="0039346C"/>
    <w:rsid w:val="003A3A9E"/>
    <w:rsid w:val="003A3E9D"/>
    <w:rsid w:val="003A41EF"/>
    <w:rsid w:val="003A515C"/>
    <w:rsid w:val="003A68EF"/>
    <w:rsid w:val="003B40AD"/>
    <w:rsid w:val="003B75AC"/>
    <w:rsid w:val="003B7F09"/>
    <w:rsid w:val="003C011F"/>
    <w:rsid w:val="003C1339"/>
    <w:rsid w:val="003C4E37"/>
    <w:rsid w:val="003C7F31"/>
    <w:rsid w:val="003D0FD0"/>
    <w:rsid w:val="003D1956"/>
    <w:rsid w:val="003D4933"/>
    <w:rsid w:val="003D514D"/>
    <w:rsid w:val="003D5435"/>
    <w:rsid w:val="003E16BE"/>
    <w:rsid w:val="003E69F9"/>
    <w:rsid w:val="003E771E"/>
    <w:rsid w:val="003F0AA7"/>
    <w:rsid w:val="003F4E28"/>
    <w:rsid w:val="003F5FA9"/>
    <w:rsid w:val="003F76B6"/>
    <w:rsid w:val="004006B9"/>
    <w:rsid w:val="004006E8"/>
    <w:rsid w:val="00401855"/>
    <w:rsid w:val="00404BC5"/>
    <w:rsid w:val="00405079"/>
    <w:rsid w:val="004052AE"/>
    <w:rsid w:val="0040646A"/>
    <w:rsid w:val="0040751D"/>
    <w:rsid w:val="00411B38"/>
    <w:rsid w:val="004121D2"/>
    <w:rsid w:val="00420AD1"/>
    <w:rsid w:val="00424D13"/>
    <w:rsid w:val="0042536D"/>
    <w:rsid w:val="0042540D"/>
    <w:rsid w:val="004268F6"/>
    <w:rsid w:val="0043038F"/>
    <w:rsid w:val="00430748"/>
    <w:rsid w:val="004350BF"/>
    <w:rsid w:val="0044052B"/>
    <w:rsid w:val="00440D4B"/>
    <w:rsid w:val="00441570"/>
    <w:rsid w:val="00446C3A"/>
    <w:rsid w:val="0045065B"/>
    <w:rsid w:val="004558BF"/>
    <w:rsid w:val="00462D0F"/>
    <w:rsid w:val="0046494C"/>
    <w:rsid w:val="00465587"/>
    <w:rsid w:val="00470C53"/>
    <w:rsid w:val="00470E4A"/>
    <w:rsid w:val="00477455"/>
    <w:rsid w:val="00483597"/>
    <w:rsid w:val="00485B5B"/>
    <w:rsid w:val="00490A0E"/>
    <w:rsid w:val="00490BA7"/>
    <w:rsid w:val="004922B5"/>
    <w:rsid w:val="00493D15"/>
    <w:rsid w:val="00495273"/>
    <w:rsid w:val="004A1F7B"/>
    <w:rsid w:val="004A401E"/>
    <w:rsid w:val="004C08CC"/>
    <w:rsid w:val="004C3640"/>
    <w:rsid w:val="004C3E82"/>
    <w:rsid w:val="004C44D2"/>
    <w:rsid w:val="004D0C1C"/>
    <w:rsid w:val="004D1EC1"/>
    <w:rsid w:val="004D3578"/>
    <w:rsid w:val="004D380D"/>
    <w:rsid w:val="004D4537"/>
    <w:rsid w:val="004D5983"/>
    <w:rsid w:val="004D7AFB"/>
    <w:rsid w:val="004E1C7E"/>
    <w:rsid w:val="004E213A"/>
    <w:rsid w:val="004E7553"/>
    <w:rsid w:val="004F01C6"/>
    <w:rsid w:val="004F4540"/>
    <w:rsid w:val="004F73A7"/>
    <w:rsid w:val="004F7ED9"/>
    <w:rsid w:val="00503171"/>
    <w:rsid w:val="00505066"/>
    <w:rsid w:val="00505CB9"/>
    <w:rsid w:val="00506C28"/>
    <w:rsid w:val="00513F96"/>
    <w:rsid w:val="0051610E"/>
    <w:rsid w:val="0051718C"/>
    <w:rsid w:val="0052429F"/>
    <w:rsid w:val="0052479C"/>
    <w:rsid w:val="00527F02"/>
    <w:rsid w:val="00531EC4"/>
    <w:rsid w:val="00532B63"/>
    <w:rsid w:val="00534DA0"/>
    <w:rsid w:val="0053677B"/>
    <w:rsid w:val="00537809"/>
    <w:rsid w:val="00541354"/>
    <w:rsid w:val="005424DE"/>
    <w:rsid w:val="005432D9"/>
    <w:rsid w:val="00543E6C"/>
    <w:rsid w:val="0054491E"/>
    <w:rsid w:val="00545A6B"/>
    <w:rsid w:val="0054783B"/>
    <w:rsid w:val="00551255"/>
    <w:rsid w:val="005519EE"/>
    <w:rsid w:val="005539A8"/>
    <w:rsid w:val="0055657A"/>
    <w:rsid w:val="00560AD7"/>
    <w:rsid w:val="00561B2E"/>
    <w:rsid w:val="00565087"/>
    <w:rsid w:val="0056573F"/>
    <w:rsid w:val="00571279"/>
    <w:rsid w:val="0057156F"/>
    <w:rsid w:val="00575FC5"/>
    <w:rsid w:val="00577785"/>
    <w:rsid w:val="00577E4D"/>
    <w:rsid w:val="00580675"/>
    <w:rsid w:val="00582C43"/>
    <w:rsid w:val="0058750E"/>
    <w:rsid w:val="00594A8C"/>
    <w:rsid w:val="0059621E"/>
    <w:rsid w:val="005A1129"/>
    <w:rsid w:val="005A13AB"/>
    <w:rsid w:val="005A3B1B"/>
    <w:rsid w:val="005A49C6"/>
    <w:rsid w:val="005B0E4C"/>
    <w:rsid w:val="005B229E"/>
    <w:rsid w:val="005B2B3E"/>
    <w:rsid w:val="005B3169"/>
    <w:rsid w:val="005C0C9A"/>
    <w:rsid w:val="005C1DB6"/>
    <w:rsid w:val="005C33D3"/>
    <w:rsid w:val="005C766E"/>
    <w:rsid w:val="005C7CD5"/>
    <w:rsid w:val="005D1934"/>
    <w:rsid w:val="005D4614"/>
    <w:rsid w:val="005D47A0"/>
    <w:rsid w:val="005D47CB"/>
    <w:rsid w:val="005E2EE5"/>
    <w:rsid w:val="005E2EF2"/>
    <w:rsid w:val="005E4036"/>
    <w:rsid w:val="005E5184"/>
    <w:rsid w:val="005E5FB1"/>
    <w:rsid w:val="005E7385"/>
    <w:rsid w:val="005F052B"/>
    <w:rsid w:val="005F0E6C"/>
    <w:rsid w:val="005F26FE"/>
    <w:rsid w:val="005F275C"/>
    <w:rsid w:val="005F5804"/>
    <w:rsid w:val="006017FD"/>
    <w:rsid w:val="006018EF"/>
    <w:rsid w:val="00606351"/>
    <w:rsid w:val="00607ED0"/>
    <w:rsid w:val="00610965"/>
    <w:rsid w:val="00611091"/>
    <w:rsid w:val="00611566"/>
    <w:rsid w:val="00612935"/>
    <w:rsid w:val="00622F9F"/>
    <w:rsid w:val="00625894"/>
    <w:rsid w:val="00626827"/>
    <w:rsid w:val="0062762E"/>
    <w:rsid w:val="006323A6"/>
    <w:rsid w:val="00640BE7"/>
    <w:rsid w:val="00640CFD"/>
    <w:rsid w:val="00642598"/>
    <w:rsid w:val="006435CE"/>
    <w:rsid w:val="00644C77"/>
    <w:rsid w:val="0064519F"/>
    <w:rsid w:val="0064528D"/>
    <w:rsid w:val="00646D99"/>
    <w:rsid w:val="00650D68"/>
    <w:rsid w:val="0065220E"/>
    <w:rsid w:val="00656910"/>
    <w:rsid w:val="006574C0"/>
    <w:rsid w:val="00660BAC"/>
    <w:rsid w:val="0066145F"/>
    <w:rsid w:val="00663418"/>
    <w:rsid w:val="0066730D"/>
    <w:rsid w:val="00685033"/>
    <w:rsid w:val="00686224"/>
    <w:rsid w:val="00691AF4"/>
    <w:rsid w:val="00693619"/>
    <w:rsid w:val="00694738"/>
    <w:rsid w:val="00696794"/>
    <w:rsid w:val="00696821"/>
    <w:rsid w:val="00697381"/>
    <w:rsid w:val="00697FFB"/>
    <w:rsid w:val="006A39A7"/>
    <w:rsid w:val="006A4B99"/>
    <w:rsid w:val="006A5229"/>
    <w:rsid w:val="006B0818"/>
    <w:rsid w:val="006B31CD"/>
    <w:rsid w:val="006B7C1F"/>
    <w:rsid w:val="006B7DF2"/>
    <w:rsid w:val="006C66D8"/>
    <w:rsid w:val="006D1787"/>
    <w:rsid w:val="006D1E24"/>
    <w:rsid w:val="006D2FFD"/>
    <w:rsid w:val="006D35AD"/>
    <w:rsid w:val="006D35DE"/>
    <w:rsid w:val="006D4A1B"/>
    <w:rsid w:val="006D7CA2"/>
    <w:rsid w:val="006E00E0"/>
    <w:rsid w:val="006E0152"/>
    <w:rsid w:val="006E1057"/>
    <w:rsid w:val="006E1417"/>
    <w:rsid w:val="006E1F58"/>
    <w:rsid w:val="006E379C"/>
    <w:rsid w:val="006E3884"/>
    <w:rsid w:val="006E42F8"/>
    <w:rsid w:val="006E6AEE"/>
    <w:rsid w:val="006F5F0F"/>
    <w:rsid w:val="006F6A2C"/>
    <w:rsid w:val="006F6A66"/>
    <w:rsid w:val="007005C5"/>
    <w:rsid w:val="007041B8"/>
    <w:rsid w:val="007054EB"/>
    <w:rsid w:val="007069DC"/>
    <w:rsid w:val="00707410"/>
    <w:rsid w:val="00710201"/>
    <w:rsid w:val="00710A07"/>
    <w:rsid w:val="00712048"/>
    <w:rsid w:val="00714060"/>
    <w:rsid w:val="00715941"/>
    <w:rsid w:val="00717297"/>
    <w:rsid w:val="0072073A"/>
    <w:rsid w:val="0072196E"/>
    <w:rsid w:val="00723625"/>
    <w:rsid w:val="00723B23"/>
    <w:rsid w:val="00732C8E"/>
    <w:rsid w:val="007342B5"/>
    <w:rsid w:val="00734A5B"/>
    <w:rsid w:val="0073531A"/>
    <w:rsid w:val="00735FE8"/>
    <w:rsid w:val="007370DA"/>
    <w:rsid w:val="00737EB9"/>
    <w:rsid w:val="0074420E"/>
    <w:rsid w:val="00744E76"/>
    <w:rsid w:val="00750E61"/>
    <w:rsid w:val="007526EC"/>
    <w:rsid w:val="00755B25"/>
    <w:rsid w:val="007569D2"/>
    <w:rsid w:val="00757D40"/>
    <w:rsid w:val="007618D4"/>
    <w:rsid w:val="00764017"/>
    <w:rsid w:val="00765CD9"/>
    <w:rsid w:val="007662B5"/>
    <w:rsid w:val="00766A02"/>
    <w:rsid w:val="00767002"/>
    <w:rsid w:val="00770A70"/>
    <w:rsid w:val="007712F9"/>
    <w:rsid w:val="00773C08"/>
    <w:rsid w:val="00774067"/>
    <w:rsid w:val="007746C3"/>
    <w:rsid w:val="00775DAD"/>
    <w:rsid w:val="00781F0F"/>
    <w:rsid w:val="00783AF2"/>
    <w:rsid w:val="00784B07"/>
    <w:rsid w:val="0078727C"/>
    <w:rsid w:val="007872B9"/>
    <w:rsid w:val="0079049D"/>
    <w:rsid w:val="00793766"/>
    <w:rsid w:val="00793DC5"/>
    <w:rsid w:val="00796823"/>
    <w:rsid w:val="007A05A8"/>
    <w:rsid w:val="007A2E55"/>
    <w:rsid w:val="007A4A3C"/>
    <w:rsid w:val="007A5021"/>
    <w:rsid w:val="007B18D8"/>
    <w:rsid w:val="007B24C4"/>
    <w:rsid w:val="007C0182"/>
    <w:rsid w:val="007C07E3"/>
    <w:rsid w:val="007C095F"/>
    <w:rsid w:val="007C2DD0"/>
    <w:rsid w:val="007C501A"/>
    <w:rsid w:val="007D076B"/>
    <w:rsid w:val="007D1130"/>
    <w:rsid w:val="007D191D"/>
    <w:rsid w:val="007D1F55"/>
    <w:rsid w:val="007E6890"/>
    <w:rsid w:val="007E68CD"/>
    <w:rsid w:val="007E7DB7"/>
    <w:rsid w:val="007F221D"/>
    <w:rsid w:val="007F2E08"/>
    <w:rsid w:val="007F697B"/>
    <w:rsid w:val="008024FA"/>
    <w:rsid w:val="008028A4"/>
    <w:rsid w:val="00805978"/>
    <w:rsid w:val="00811EA7"/>
    <w:rsid w:val="008125A0"/>
    <w:rsid w:val="00813245"/>
    <w:rsid w:val="008138FF"/>
    <w:rsid w:val="00813C81"/>
    <w:rsid w:val="0081472F"/>
    <w:rsid w:val="0082367D"/>
    <w:rsid w:val="008258CC"/>
    <w:rsid w:val="00826CEE"/>
    <w:rsid w:val="00826F27"/>
    <w:rsid w:val="0083542D"/>
    <w:rsid w:val="00835F3D"/>
    <w:rsid w:val="00840DE0"/>
    <w:rsid w:val="0084294C"/>
    <w:rsid w:val="00842EF3"/>
    <w:rsid w:val="00843919"/>
    <w:rsid w:val="00843A9C"/>
    <w:rsid w:val="00844EE5"/>
    <w:rsid w:val="008454FB"/>
    <w:rsid w:val="00847CD0"/>
    <w:rsid w:val="0085186B"/>
    <w:rsid w:val="00852639"/>
    <w:rsid w:val="00856E28"/>
    <w:rsid w:val="008607A8"/>
    <w:rsid w:val="008631BD"/>
    <w:rsid w:val="0086354A"/>
    <w:rsid w:val="008646C7"/>
    <w:rsid w:val="008711EA"/>
    <w:rsid w:val="008768CA"/>
    <w:rsid w:val="008778F2"/>
    <w:rsid w:val="00877EF9"/>
    <w:rsid w:val="00880559"/>
    <w:rsid w:val="00880EAE"/>
    <w:rsid w:val="00881CEB"/>
    <w:rsid w:val="00887530"/>
    <w:rsid w:val="008904AD"/>
    <w:rsid w:val="00891DC7"/>
    <w:rsid w:val="008A1478"/>
    <w:rsid w:val="008A2D64"/>
    <w:rsid w:val="008B5306"/>
    <w:rsid w:val="008B54E8"/>
    <w:rsid w:val="008C0580"/>
    <w:rsid w:val="008C0DEC"/>
    <w:rsid w:val="008C2E2A"/>
    <w:rsid w:val="008C3057"/>
    <w:rsid w:val="008C4D6F"/>
    <w:rsid w:val="008D12F3"/>
    <w:rsid w:val="008D1594"/>
    <w:rsid w:val="008D1E18"/>
    <w:rsid w:val="008D2C2C"/>
    <w:rsid w:val="008D2E4D"/>
    <w:rsid w:val="008D4614"/>
    <w:rsid w:val="008D5762"/>
    <w:rsid w:val="008D6D53"/>
    <w:rsid w:val="008E07F8"/>
    <w:rsid w:val="008E325E"/>
    <w:rsid w:val="008E358D"/>
    <w:rsid w:val="008E629C"/>
    <w:rsid w:val="008E63F2"/>
    <w:rsid w:val="008F2D7F"/>
    <w:rsid w:val="008F2DFD"/>
    <w:rsid w:val="008F396F"/>
    <w:rsid w:val="008F3DCD"/>
    <w:rsid w:val="009009BC"/>
    <w:rsid w:val="0090271F"/>
    <w:rsid w:val="00902DB9"/>
    <w:rsid w:val="0090466A"/>
    <w:rsid w:val="00905712"/>
    <w:rsid w:val="00905E5A"/>
    <w:rsid w:val="00911D1F"/>
    <w:rsid w:val="0092291F"/>
    <w:rsid w:val="00923655"/>
    <w:rsid w:val="009248C6"/>
    <w:rsid w:val="0093277B"/>
    <w:rsid w:val="009330FB"/>
    <w:rsid w:val="009339CB"/>
    <w:rsid w:val="00935C8A"/>
    <w:rsid w:val="00936071"/>
    <w:rsid w:val="009368E6"/>
    <w:rsid w:val="0093705B"/>
    <w:rsid w:val="009376CD"/>
    <w:rsid w:val="00940212"/>
    <w:rsid w:val="00942EC2"/>
    <w:rsid w:val="009467C1"/>
    <w:rsid w:val="00950037"/>
    <w:rsid w:val="00951580"/>
    <w:rsid w:val="00952910"/>
    <w:rsid w:val="00952BEA"/>
    <w:rsid w:val="0095597C"/>
    <w:rsid w:val="009566C1"/>
    <w:rsid w:val="00956BCC"/>
    <w:rsid w:val="00961B32"/>
    <w:rsid w:val="00962509"/>
    <w:rsid w:val="0096250F"/>
    <w:rsid w:val="0096658C"/>
    <w:rsid w:val="00966709"/>
    <w:rsid w:val="00966C17"/>
    <w:rsid w:val="00967FBB"/>
    <w:rsid w:val="00970064"/>
    <w:rsid w:val="00970DB3"/>
    <w:rsid w:val="0097135E"/>
    <w:rsid w:val="00972E54"/>
    <w:rsid w:val="00973D8F"/>
    <w:rsid w:val="00974BB0"/>
    <w:rsid w:val="00975BCD"/>
    <w:rsid w:val="009818A2"/>
    <w:rsid w:val="009836B0"/>
    <w:rsid w:val="00984808"/>
    <w:rsid w:val="0099099F"/>
    <w:rsid w:val="009909AB"/>
    <w:rsid w:val="00991762"/>
    <w:rsid w:val="009928A9"/>
    <w:rsid w:val="009962D2"/>
    <w:rsid w:val="00996FCA"/>
    <w:rsid w:val="00997CA0"/>
    <w:rsid w:val="009A0AF3"/>
    <w:rsid w:val="009A6980"/>
    <w:rsid w:val="009B07CD"/>
    <w:rsid w:val="009B1B54"/>
    <w:rsid w:val="009B6E63"/>
    <w:rsid w:val="009C19E9"/>
    <w:rsid w:val="009D10A8"/>
    <w:rsid w:val="009D1B92"/>
    <w:rsid w:val="009D1CFE"/>
    <w:rsid w:val="009D63A1"/>
    <w:rsid w:val="009D74A6"/>
    <w:rsid w:val="009E0E87"/>
    <w:rsid w:val="009E425D"/>
    <w:rsid w:val="009F703B"/>
    <w:rsid w:val="009F7805"/>
    <w:rsid w:val="00A01790"/>
    <w:rsid w:val="00A0402C"/>
    <w:rsid w:val="00A10F02"/>
    <w:rsid w:val="00A11097"/>
    <w:rsid w:val="00A17176"/>
    <w:rsid w:val="00A17EAD"/>
    <w:rsid w:val="00A204CA"/>
    <w:rsid w:val="00A209D6"/>
    <w:rsid w:val="00A22738"/>
    <w:rsid w:val="00A2572C"/>
    <w:rsid w:val="00A27729"/>
    <w:rsid w:val="00A31DCC"/>
    <w:rsid w:val="00A31E49"/>
    <w:rsid w:val="00A31EA2"/>
    <w:rsid w:val="00A320DA"/>
    <w:rsid w:val="00A36F5F"/>
    <w:rsid w:val="00A3710D"/>
    <w:rsid w:val="00A430EC"/>
    <w:rsid w:val="00A50056"/>
    <w:rsid w:val="00A50718"/>
    <w:rsid w:val="00A50C08"/>
    <w:rsid w:val="00A51D60"/>
    <w:rsid w:val="00A51D90"/>
    <w:rsid w:val="00A52483"/>
    <w:rsid w:val="00A53724"/>
    <w:rsid w:val="00A54B2B"/>
    <w:rsid w:val="00A55EDE"/>
    <w:rsid w:val="00A6170C"/>
    <w:rsid w:val="00A62BC9"/>
    <w:rsid w:val="00A703B6"/>
    <w:rsid w:val="00A70CE1"/>
    <w:rsid w:val="00A73935"/>
    <w:rsid w:val="00A753EB"/>
    <w:rsid w:val="00A807F5"/>
    <w:rsid w:val="00A81AFB"/>
    <w:rsid w:val="00A82346"/>
    <w:rsid w:val="00A843EF"/>
    <w:rsid w:val="00A90698"/>
    <w:rsid w:val="00A910AD"/>
    <w:rsid w:val="00A922B4"/>
    <w:rsid w:val="00A9671C"/>
    <w:rsid w:val="00AA1553"/>
    <w:rsid w:val="00AB2CFA"/>
    <w:rsid w:val="00AB42BB"/>
    <w:rsid w:val="00AC33D7"/>
    <w:rsid w:val="00AC392D"/>
    <w:rsid w:val="00AC56DD"/>
    <w:rsid w:val="00AC5DDC"/>
    <w:rsid w:val="00AD25AE"/>
    <w:rsid w:val="00AD608B"/>
    <w:rsid w:val="00AD62D3"/>
    <w:rsid w:val="00AD7E23"/>
    <w:rsid w:val="00AD7E7C"/>
    <w:rsid w:val="00AE0E32"/>
    <w:rsid w:val="00AE7D3A"/>
    <w:rsid w:val="00AF3DA8"/>
    <w:rsid w:val="00AF49BE"/>
    <w:rsid w:val="00B05380"/>
    <w:rsid w:val="00B05962"/>
    <w:rsid w:val="00B127D9"/>
    <w:rsid w:val="00B12BB2"/>
    <w:rsid w:val="00B15449"/>
    <w:rsid w:val="00B167E4"/>
    <w:rsid w:val="00B16C2F"/>
    <w:rsid w:val="00B16D68"/>
    <w:rsid w:val="00B17850"/>
    <w:rsid w:val="00B24F8B"/>
    <w:rsid w:val="00B27303"/>
    <w:rsid w:val="00B27965"/>
    <w:rsid w:val="00B31EE4"/>
    <w:rsid w:val="00B3351B"/>
    <w:rsid w:val="00B37717"/>
    <w:rsid w:val="00B37D9E"/>
    <w:rsid w:val="00B47FD1"/>
    <w:rsid w:val="00B516BB"/>
    <w:rsid w:val="00B51DEF"/>
    <w:rsid w:val="00B53A30"/>
    <w:rsid w:val="00B54A9C"/>
    <w:rsid w:val="00B54FBA"/>
    <w:rsid w:val="00B5751D"/>
    <w:rsid w:val="00B61FA7"/>
    <w:rsid w:val="00B62A60"/>
    <w:rsid w:val="00B669E9"/>
    <w:rsid w:val="00B70081"/>
    <w:rsid w:val="00B7538C"/>
    <w:rsid w:val="00B75D6E"/>
    <w:rsid w:val="00B76C27"/>
    <w:rsid w:val="00B80781"/>
    <w:rsid w:val="00B80D03"/>
    <w:rsid w:val="00B819EE"/>
    <w:rsid w:val="00B82F8C"/>
    <w:rsid w:val="00B843DC"/>
    <w:rsid w:val="00B84BB9"/>
    <w:rsid w:val="00B84DB2"/>
    <w:rsid w:val="00B855A9"/>
    <w:rsid w:val="00B85937"/>
    <w:rsid w:val="00B87A6C"/>
    <w:rsid w:val="00B91906"/>
    <w:rsid w:val="00B94E9E"/>
    <w:rsid w:val="00B967B7"/>
    <w:rsid w:val="00B97035"/>
    <w:rsid w:val="00BA27B7"/>
    <w:rsid w:val="00BA289F"/>
    <w:rsid w:val="00BA4CF8"/>
    <w:rsid w:val="00BB2DE4"/>
    <w:rsid w:val="00BB6A4E"/>
    <w:rsid w:val="00BC23B6"/>
    <w:rsid w:val="00BC3555"/>
    <w:rsid w:val="00BC69BE"/>
    <w:rsid w:val="00BC6E74"/>
    <w:rsid w:val="00BC7A87"/>
    <w:rsid w:val="00BD0B8D"/>
    <w:rsid w:val="00BD7160"/>
    <w:rsid w:val="00BD7B35"/>
    <w:rsid w:val="00BE057F"/>
    <w:rsid w:val="00BE075A"/>
    <w:rsid w:val="00BE2332"/>
    <w:rsid w:val="00BE5297"/>
    <w:rsid w:val="00BF2EE7"/>
    <w:rsid w:val="00BF4DD4"/>
    <w:rsid w:val="00BF4EB8"/>
    <w:rsid w:val="00BF6A6E"/>
    <w:rsid w:val="00C00932"/>
    <w:rsid w:val="00C01052"/>
    <w:rsid w:val="00C01286"/>
    <w:rsid w:val="00C0321C"/>
    <w:rsid w:val="00C04382"/>
    <w:rsid w:val="00C05DE1"/>
    <w:rsid w:val="00C07094"/>
    <w:rsid w:val="00C10AED"/>
    <w:rsid w:val="00C12B51"/>
    <w:rsid w:val="00C12BCD"/>
    <w:rsid w:val="00C15191"/>
    <w:rsid w:val="00C228A3"/>
    <w:rsid w:val="00C24650"/>
    <w:rsid w:val="00C25465"/>
    <w:rsid w:val="00C2628E"/>
    <w:rsid w:val="00C31806"/>
    <w:rsid w:val="00C33079"/>
    <w:rsid w:val="00C3346E"/>
    <w:rsid w:val="00C362BE"/>
    <w:rsid w:val="00C40D84"/>
    <w:rsid w:val="00C43338"/>
    <w:rsid w:val="00C441A4"/>
    <w:rsid w:val="00C55A12"/>
    <w:rsid w:val="00C566E5"/>
    <w:rsid w:val="00C6010D"/>
    <w:rsid w:val="00C60565"/>
    <w:rsid w:val="00C61EA9"/>
    <w:rsid w:val="00C6553E"/>
    <w:rsid w:val="00C70BCE"/>
    <w:rsid w:val="00C80B75"/>
    <w:rsid w:val="00C8220A"/>
    <w:rsid w:val="00C82AC3"/>
    <w:rsid w:val="00C83A13"/>
    <w:rsid w:val="00C86F10"/>
    <w:rsid w:val="00C9068C"/>
    <w:rsid w:val="00C92967"/>
    <w:rsid w:val="00CA02C6"/>
    <w:rsid w:val="00CA3D0C"/>
    <w:rsid w:val="00CA654B"/>
    <w:rsid w:val="00CA7CBB"/>
    <w:rsid w:val="00CB119E"/>
    <w:rsid w:val="00CB3138"/>
    <w:rsid w:val="00CB3CE7"/>
    <w:rsid w:val="00CB72B8"/>
    <w:rsid w:val="00CB73FD"/>
    <w:rsid w:val="00CB7550"/>
    <w:rsid w:val="00CB78FC"/>
    <w:rsid w:val="00CC36FF"/>
    <w:rsid w:val="00CC4BBF"/>
    <w:rsid w:val="00CD0A4F"/>
    <w:rsid w:val="00CD0BA8"/>
    <w:rsid w:val="00CD4C7B"/>
    <w:rsid w:val="00CD58FE"/>
    <w:rsid w:val="00CD66E8"/>
    <w:rsid w:val="00CE67AD"/>
    <w:rsid w:val="00CF5018"/>
    <w:rsid w:val="00D045F8"/>
    <w:rsid w:val="00D04A4A"/>
    <w:rsid w:val="00D04F5D"/>
    <w:rsid w:val="00D05E2B"/>
    <w:rsid w:val="00D11BA2"/>
    <w:rsid w:val="00D203B1"/>
    <w:rsid w:val="00D20456"/>
    <w:rsid w:val="00D25D4E"/>
    <w:rsid w:val="00D33569"/>
    <w:rsid w:val="00D33BE3"/>
    <w:rsid w:val="00D36185"/>
    <w:rsid w:val="00D36D9E"/>
    <w:rsid w:val="00D37044"/>
    <w:rsid w:val="00D3792D"/>
    <w:rsid w:val="00D406C6"/>
    <w:rsid w:val="00D524EB"/>
    <w:rsid w:val="00D54820"/>
    <w:rsid w:val="00D5591A"/>
    <w:rsid w:val="00D55E47"/>
    <w:rsid w:val="00D61654"/>
    <w:rsid w:val="00D62031"/>
    <w:rsid w:val="00D62E19"/>
    <w:rsid w:val="00D63E3E"/>
    <w:rsid w:val="00D64651"/>
    <w:rsid w:val="00D6578A"/>
    <w:rsid w:val="00D65F19"/>
    <w:rsid w:val="00D67CD1"/>
    <w:rsid w:val="00D70CCF"/>
    <w:rsid w:val="00D71E16"/>
    <w:rsid w:val="00D738D6"/>
    <w:rsid w:val="00D80795"/>
    <w:rsid w:val="00D825EE"/>
    <w:rsid w:val="00D854BE"/>
    <w:rsid w:val="00D87E00"/>
    <w:rsid w:val="00D9134D"/>
    <w:rsid w:val="00D9197E"/>
    <w:rsid w:val="00D93171"/>
    <w:rsid w:val="00D934B3"/>
    <w:rsid w:val="00D93541"/>
    <w:rsid w:val="00D95417"/>
    <w:rsid w:val="00D9577D"/>
    <w:rsid w:val="00D9617A"/>
    <w:rsid w:val="00D96D11"/>
    <w:rsid w:val="00DA557A"/>
    <w:rsid w:val="00DA7A03"/>
    <w:rsid w:val="00DB0DB8"/>
    <w:rsid w:val="00DB1818"/>
    <w:rsid w:val="00DC309B"/>
    <w:rsid w:val="00DC3256"/>
    <w:rsid w:val="00DC4232"/>
    <w:rsid w:val="00DC4DA2"/>
    <w:rsid w:val="00DC5261"/>
    <w:rsid w:val="00DC663B"/>
    <w:rsid w:val="00DD62D2"/>
    <w:rsid w:val="00DD6454"/>
    <w:rsid w:val="00DD78D3"/>
    <w:rsid w:val="00DE25D2"/>
    <w:rsid w:val="00DE6E85"/>
    <w:rsid w:val="00DF1085"/>
    <w:rsid w:val="00DF1748"/>
    <w:rsid w:val="00DF2507"/>
    <w:rsid w:val="00DF5C6C"/>
    <w:rsid w:val="00DF7B18"/>
    <w:rsid w:val="00DF7C20"/>
    <w:rsid w:val="00E0179E"/>
    <w:rsid w:val="00E038FB"/>
    <w:rsid w:val="00E0561D"/>
    <w:rsid w:val="00E07D19"/>
    <w:rsid w:val="00E17761"/>
    <w:rsid w:val="00E27CBD"/>
    <w:rsid w:val="00E354B5"/>
    <w:rsid w:val="00E43AB4"/>
    <w:rsid w:val="00E43C71"/>
    <w:rsid w:val="00E4582A"/>
    <w:rsid w:val="00E46C08"/>
    <w:rsid w:val="00E471CF"/>
    <w:rsid w:val="00E62835"/>
    <w:rsid w:val="00E6471C"/>
    <w:rsid w:val="00E6480E"/>
    <w:rsid w:val="00E668DB"/>
    <w:rsid w:val="00E7371E"/>
    <w:rsid w:val="00E76293"/>
    <w:rsid w:val="00E77645"/>
    <w:rsid w:val="00E83697"/>
    <w:rsid w:val="00E84C38"/>
    <w:rsid w:val="00E84E4E"/>
    <w:rsid w:val="00E859B6"/>
    <w:rsid w:val="00E90434"/>
    <w:rsid w:val="00E9109E"/>
    <w:rsid w:val="00E937F4"/>
    <w:rsid w:val="00E93EC3"/>
    <w:rsid w:val="00EA3592"/>
    <w:rsid w:val="00EA5E6F"/>
    <w:rsid w:val="00EA66C9"/>
    <w:rsid w:val="00EA7117"/>
    <w:rsid w:val="00EB0A39"/>
    <w:rsid w:val="00EB1B4F"/>
    <w:rsid w:val="00EB3F9A"/>
    <w:rsid w:val="00EB5D32"/>
    <w:rsid w:val="00EC1C75"/>
    <w:rsid w:val="00EC3D60"/>
    <w:rsid w:val="00EC4A25"/>
    <w:rsid w:val="00EC67E1"/>
    <w:rsid w:val="00EC6D10"/>
    <w:rsid w:val="00ED0D4A"/>
    <w:rsid w:val="00ED1752"/>
    <w:rsid w:val="00ED18DA"/>
    <w:rsid w:val="00ED2501"/>
    <w:rsid w:val="00ED3656"/>
    <w:rsid w:val="00ED3687"/>
    <w:rsid w:val="00ED3D17"/>
    <w:rsid w:val="00ED5141"/>
    <w:rsid w:val="00ED7247"/>
    <w:rsid w:val="00ED7F4F"/>
    <w:rsid w:val="00EF612C"/>
    <w:rsid w:val="00F01C5C"/>
    <w:rsid w:val="00F02051"/>
    <w:rsid w:val="00F025A2"/>
    <w:rsid w:val="00F036E9"/>
    <w:rsid w:val="00F07388"/>
    <w:rsid w:val="00F1005D"/>
    <w:rsid w:val="00F10764"/>
    <w:rsid w:val="00F129DF"/>
    <w:rsid w:val="00F177B5"/>
    <w:rsid w:val="00F2026E"/>
    <w:rsid w:val="00F20324"/>
    <w:rsid w:val="00F21442"/>
    <w:rsid w:val="00F2210A"/>
    <w:rsid w:val="00F230F6"/>
    <w:rsid w:val="00F23C1E"/>
    <w:rsid w:val="00F2604F"/>
    <w:rsid w:val="00F2730D"/>
    <w:rsid w:val="00F31372"/>
    <w:rsid w:val="00F35C01"/>
    <w:rsid w:val="00F360E4"/>
    <w:rsid w:val="00F37743"/>
    <w:rsid w:val="00F408DE"/>
    <w:rsid w:val="00F40C2F"/>
    <w:rsid w:val="00F42493"/>
    <w:rsid w:val="00F51143"/>
    <w:rsid w:val="00F54A3D"/>
    <w:rsid w:val="00F54CB0"/>
    <w:rsid w:val="00F579CD"/>
    <w:rsid w:val="00F60AF4"/>
    <w:rsid w:val="00F60E63"/>
    <w:rsid w:val="00F610FF"/>
    <w:rsid w:val="00F63108"/>
    <w:rsid w:val="00F653B8"/>
    <w:rsid w:val="00F65B88"/>
    <w:rsid w:val="00F67C1A"/>
    <w:rsid w:val="00F71B89"/>
    <w:rsid w:val="00F73447"/>
    <w:rsid w:val="00F7353C"/>
    <w:rsid w:val="00F73748"/>
    <w:rsid w:val="00F76F8F"/>
    <w:rsid w:val="00F83697"/>
    <w:rsid w:val="00F83EEE"/>
    <w:rsid w:val="00F84DD8"/>
    <w:rsid w:val="00F87048"/>
    <w:rsid w:val="00F87257"/>
    <w:rsid w:val="00F941DF"/>
    <w:rsid w:val="00F962E6"/>
    <w:rsid w:val="00FA0268"/>
    <w:rsid w:val="00FA1266"/>
    <w:rsid w:val="00FA1A9A"/>
    <w:rsid w:val="00FA2D26"/>
    <w:rsid w:val="00FB36FA"/>
    <w:rsid w:val="00FB63AD"/>
    <w:rsid w:val="00FB6423"/>
    <w:rsid w:val="00FB699C"/>
    <w:rsid w:val="00FC0A49"/>
    <w:rsid w:val="00FC1192"/>
    <w:rsid w:val="00FC18F2"/>
    <w:rsid w:val="00FC27A2"/>
    <w:rsid w:val="00FC41C1"/>
    <w:rsid w:val="00FD0E70"/>
    <w:rsid w:val="00FD780C"/>
    <w:rsid w:val="00FE106D"/>
    <w:rsid w:val="00FE1379"/>
    <w:rsid w:val="00FE1A74"/>
    <w:rsid w:val="00FE251B"/>
    <w:rsid w:val="00FE4D50"/>
    <w:rsid w:val="00FE7D47"/>
    <w:rsid w:val="088DE064"/>
    <w:rsid w:val="125DA311"/>
    <w:rsid w:val="5313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68FB5C1-7A18-45AA-A3C4-9A509524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27F0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27F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27F0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27F0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qFormat/>
    <w:rsid w:val="00527F02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826F2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6F2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2657C"/>
    <w:rPr>
      <w:color w:val="954F72" w:themeColor="followedHyperlink"/>
      <w:u w:val="single"/>
    </w:rPr>
  </w:style>
  <w:style w:type="character" w:customStyle="1" w:styleId="B1Char1">
    <w:name w:val="B1 Char1"/>
    <w:qFormat/>
    <w:rsid w:val="004121D2"/>
    <w:rPr>
      <w:lang w:eastAsia="en-US"/>
    </w:rPr>
  </w:style>
  <w:style w:type="character" w:customStyle="1" w:styleId="B2Char">
    <w:name w:val="B2 Char"/>
    <w:link w:val="B2"/>
    <w:qFormat/>
    <w:rsid w:val="004121D2"/>
    <w:rPr>
      <w:lang w:eastAsia="en-US"/>
    </w:rPr>
  </w:style>
  <w:style w:type="character" w:customStyle="1" w:styleId="B3Char2">
    <w:name w:val="B3 Char2"/>
    <w:link w:val="B3"/>
    <w:qFormat/>
    <w:rsid w:val="004121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27bis/Docs/R2-2408012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RBI5PAMIO524-1616901215-33763</_dlc_DocId>
    <_dlc_DocIdUrl xmlns="71c5aaf6-e6ce-465b-b873-5148d2a4c105">
      <Url>https://nokia.sharepoint.com/sites/gxp/_layouts/15/DocIdRedir.aspx?ID=RBI5PAMIO524-1616901215-33763</Url>
      <Description>RBI5PAMIO524-1616901215-33763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275bb01-7583-478d-bc14-e839a2dd5989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3A457E8-4F61-47E4-93BA-7626EEA26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3781</TotalTime>
  <Pages>1</Pages>
  <Words>1775</Words>
  <Characters>10122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11874</CharactersWithSpaces>
  <SharedDoc>false</SharedDoc>
  <HyperlinkBase/>
  <HLinks>
    <vt:vector size="6" baseType="variant">
      <vt:variant>
        <vt:i4>1245231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https://www.3gpp.org/ftp/tsg_ran/WG2_RL2/TSGR2_127bis/Docs/R2-2408012.zip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645</cp:revision>
  <dcterms:created xsi:type="dcterms:W3CDTF">2016-08-14T16:53:00Z</dcterms:created>
  <dcterms:modified xsi:type="dcterms:W3CDTF">2024-11-08T09:18:00Z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2379b075-af17-4f1d-810a-b3452723673e</vt:lpwstr>
  </property>
</Properties>
</file>